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5CC3C" w14:textId="77777777" w:rsidR="00E91242" w:rsidRPr="00DE21FF" w:rsidRDefault="00E91242" w:rsidP="00E91242">
      <w:pPr>
        <w:pStyle w:val="Nagwek1"/>
        <w:rPr>
          <w:rFonts w:ascii="Times New Roman" w:hAnsi="Times New Roman"/>
          <w:sz w:val="20"/>
          <w:szCs w:val="20"/>
        </w:rPr>
      </w:pPr>
      <w:bookmarkStart w:id="0" w:name="_Toc380660041"/>
      <w:bookmarkStart w:id="1" w:name="_Toc171706160"/>
      <w:bookmarkStart w:id="2" w:name="_Toc31621032"/>
      <w:bookmarkStart w:id="3" w:name="_Toc158748912"/>
      <w:bookmarkStart w:id="4" w:name="_Toc99087448"/>
      <w:r w:rsidRPr="00DE21FF">
        <w:rPr>
          <w:rFonts w:ascii="Times New Roman" w:hAnsi="Times New Roman"/>
          <w:sz w:val="20"/>
          <w:szCs w:val="20"/>
        </w:rPr>
        <w:t>D-02.01.01 - WYKONANIE WYKOPÓW W GRUNTACH NIESKALISTYCH</w:t>
      </w:r>
      <w:bookmarkEnd w:id="0"/>
      <w:bookmarkEnd w:id="1"/>
      <w:bookmarkEnd w:id="2"/>
    </w:p>
    <w:p w14:paraId="0C990E64" w14:textId="77777777" w:rsidR="00E91242" w:rsidRDefault="00E91242" w:rsidP="00E91242">
      <w:pPr>
        <w:pStyle w:val="Nagwek1"/>
        <w:widowControl/>
        <w:tabs>
          <w:tab w:val="clear" w:pos="1021"/>
        </w:tabs>
        <w:suppressAutoHyphens/>
        <w:overflowPunct w:val="0"/>
        <w:autoSpaceDE w:val="0"/>
        <w:autoSpaceDN w:val="0"/>
        <w:adjustRightInd w:val="0"/>
        <w:spacing w:before="0"/>
        <w:ind w:left="0" w:firstLine="0"/>
        <w:contextualSpacing/>
        <w:jc w:val="both"/>
        <w:rPr>
          <w:rFonts w:ascii="Times New Roman" w:hAnsi="Times New Roman"/>
          <w:sz w:val="20"/>
          <w:szCs w:val="20"/>
        </w:rPr>
      </w:pPr>
    </w:p>
    <w:p w14:paraId="66C9B7B7" w14:textId="77777777" w:rsidR="00E91242" w:rsidRDefault="00E91242" w:rsidP="00E91242">
      <w:pPr>
        <w:pStyle w:val="Nagwek1"/>
        <w:widowControl/>
        <w:tabs>
          <w:tab w:val="clear" w:pos="1021"/>
        </w:tabs>
        <w:suppressAutoHyphens/>
        <w:overflowPunct w:val="0"/>
        <w:autoSpaceDE w:val="0"/>
        <w:autoSpaceDN w:val="0"/>
        <w:adjustRightInd w:val="0"/>
        <w:spacing w:before="0"/>
        <w:ind w:left="360" w:firstLine="0"/>
        <w:contextualSpacing/>
        <w:jc w:val="both"/>
        <w:rPr>
          <w:rFonts w:ascii="Times New Roman" w:hAnsi="Times New Roman"/>
          <w:sz w:val="20"/>
          <w:szCs w:val="20"/>
        </w:rPr>
      </w:pPr>
    </w:p>
    <w:p w14:paraId="6399D9D2"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5" w:name="_Toc31621033"/>
      <w:r w:rsidRPr="00DE21FF">
        <w:rPr>
          <w:rFonts w:ascii="Times New Roman" w:hAnsi="Times New Roman"/>
          <w:color w:val="auto"/>
          <w:sz w:val="20"/>
          <w:szCs w:val="20"/>
        </w:rPr>
        <w:t>WSTĘP</w:t>
      </w:r>
      <w:bookmarkEnd w:id="5"/>
    </w:p>
    <w:p w14:paraId="20462E2C" w14:textId="77777777" w:rsidR="00E91242" w:rsidRPr="00DE21FF" w:rsidRDefault="00E91242" w:rsidP="00E91242">
      <w:pPr>
        <w:pStyle w:val="Nagwek2"/>
        <w:numPr>
          <w:ilvl w:val="1"/>
          <w:numId w:val="6"/>
        </w:numPr>
        <w:tabs>
          <w:tab w:val="num" w:pos="360"/>
        </w:tabs>
        <w:adjustRightInd w:val="0"/>
        <w:spacing w:before="0" w:after="0"/>
        <w:ind w:left="0" w:firstLine="0"/>
        <w:rPr>
          <w:sz w:val="20"/>
          <w:szCs w:val="20"/>
        </w:rPr>
      </w:pPr>
      <w:bookmarkStart w:id="6" w:name="_Toc407161214"/>
      <w:r w:rsidRPr="00DE21FF">
        <w:rPr>
          <w:sz w:val="20"/>
          <w:szCs w:val="20"/>
        </w:rPr>
        <w:t>Przedmiot SST</w:t>
      </w:r>
      <w:bookmarkEnd w:id="6"/>
    </w:p>
    <w:p w14:paraId="3F662281" w14:textId="0943ADD0" w:rsidR="00E91242" w:rsidRPr="001010CF" w:rsidRDefault="00E91242" w:rsidP="00E91242">
      <w:pPr>
        <w:pStyle w:val="Teksttreci0"/>
        <w:widowControl/>
        <w:shd w:val="clear" w:color="auto" w:fill="auto"/>
        <w:suppressAutoHyphens/>
        <w:spacing w:before="0" w:line="240" w:lineRule="auto"/>
        <w:ind w:firstLine="0"/>
        <w:rPr>
          <w:rStyle w:val="PogrubienieTeksttreci115pt"/>
          <w:sz w:val="20"/>
          <w:szCs w:val="20"/>
        </w:rPr>
      </w:pPr>
      <w:r w:rsidRPr="00DE21FF">
        <w:rPr>
          <w:sz w:val="20"/>
          <w:szCs w:val="20"/>
        </w:rPr>
        <w:t xml:space="preserve">Przedmiotem niniejszej szczegółowej specyfikacji technicznej (SST) są wymagania dotyczące wykonania i odbioru wykopów w gruntach nieskalistych  związanych z odtworzeniem  rowów, wykopów pod  konstrukcję  poboczy, chodników, zjazdów, skrzyżowań,  pod  przepusty, pod wzmocnienie podłoża gruntowego i na poszerzeniach drogi przy zadaniu pod nazwą: </w:t>
      </w:r>
      <w:r w:rsidRPr="001010CF">
        <w:rPr>
          <w:rStyle w:val="PogrubienieTeksttreci115pt"/>
          <w:sz w:val="20"/>
          <w:szCs w:val="20"/>
        </w:rPr>
        <w:t>„</w:t>
      </w:r>
      <w:r w:rsidR="00CD0E61" w:rsidRPr="00CD0E61">
        <w:rPr>
          <w:rStyle w:val="PogrubienieTeksttreci115pt"/>
          <w:sz w:val="20"/>
          <w:szCs w:val="20"/>
        </w:rPr>
        <w:t>Remont drogi wojewódzkiej nr 722 na wybranych odcinkach: od km 20+725 do km 21+010 i od km 21+375 do km 24+450 na terenie gminy Grójec, powiat grójecki, województwo mazowieckie</w:t>
      </w:r>
      <w:r w:rsidRPr="001010CF">
        <w:rPr>
          <w:rStyle w:val="PogrubienieTeksttreci115pt"/>
          <w:sz w:val="20"/>
          <w:szCs w:val="20"/>
        </w:rPr>
        <w:t>”</w:t>
      </w:r>
      <w:r>
        <w:rPr>
          <w:rStyle w:val="PogrubienieTeksttreci115pt"/>
          <w:sz w:val="20"/>
          <w:szCs w:val="20"/>
        </w:rPr>
        <w:t>.</w:t>
      </w:r>
    </w:p>
    <w:p w14:paraId="4C468482" w14:textId="77777777" w:rsidR="00E91242" w:rsidRPr="00DE21FF" w:rsidRDefault="00E91242" w:rsidP="00E91242">
      <w:pPr>
        <w:pStyle w:val="Teksttreci0"/>
        <w:widowControl/>
        <w:shd w:val="clear" w:color="auto" w:fill="auto"/>
        <w:suppressAutoHyphens/>
        <w:spacing w:before="0" w:line="240" w:lineRule="auto"/>
        <w:ind w:firstLine="0"/>
        <w:rPr>
          <w:sz w:val="20"/>
          <w:szCs w:val="20"/>
        </w:rPr>
      </w:pPr>
      <w:r w:rsidRPr="00DE21FF">
        <w:rPr>
          <w:rStyle w:val="PogrubienieTeksttreci115pt"/>
          <w:sz w:val="20"/>
          <w:szCs w:val="20"/>
        </w:rPr>
        <w:t xml:space="preserve"> </w:t>
      </w:r>
    </w:p>
    <w:p w14:paraId="48563A4E" w14:textId="77777777" w:rsidR="00E91242" w:rsidRPr="00DE21FF" w:rsidRDefault="00E91242" w:rsidP="00E91242">
      <w:pPr>
        <w:pStyle w:val="Nagwek2"/>
        <w:numPr>
          <w:ilvl w:val="1"/>
          <w:numId w:val="6"/>
        </w:numPr>
        <w:tabs>
          <w:tab w:val="num" w:pos="360"/>
        </w:tabs>
        <w:adjustRightInd w:val="0"/>
        <w:spacing w:before="0" w:after="0"/>
        <w:ind w:left="0" w:firstLine="0"/>
        <w:rPr>
          <w:sz w:val="20"/>
          <w:szCs w:val="20"/>
        </w:rPr>
      </w:pPr>
      <w:bookmarkStart w:id="7" w:name="_Toc407161215"/>
      <w:r w:rsidRPr="00DE21FF">
        <w:rPr>
          <w:sz w:val="20"/>
          <w:szCs w:val="20"/>
        </w:rPr>
        <w:t>Zakres stosowania SST</w:t>
      </w:r>
      <w:bookmarkEnd w:id="7"/>
    </w:p>
    <w:p w14:paraId="2F079C54" w14:textId="77777777" w:rsidR="00E91242" w:rsidRPr="00DE21FF" w:rsidRDefault="00E91242" w:rsidP="00E91242">
      <w:pPr>
        <w:spacing w:after="0" w:line="240" w:lineRule="auto"/>
        <w:rPr>
          <w:rFonts w:ascii="Times New Roman" w:hAnsi="Times New Roman"/>
          <w:sz w:val="20"/>
          <w:szCs w:val="20"/>
        </w:rPr>
      </w:pPr>
      <w:bookmarkStart w:id="8" w:name="_Toc407161216"/>
      <w:r w:rsidRPr="00DE21FF">
        <w:rPr>
          <w:rFonts w:ascii="Times New Roman" w:hAnsi="Times New Roman"/>
          <w:sz w:val="20"/>
          <w:szCs w:val="20"/>
        </w:rPr>
        <w:t>Szczegółowe specyfikacje techniczne wykonania i odbioru robót są stosowane, jako dokument przetargowy i kontraktowy przy zlecaniu i realizacji robót na drogach publicznych.</w:t>
      </w:r>
    </w:p>
    <w:p w14:paraId="5204FBC3"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r w:rsidRPr="00DE21FF">
        <w:rPr>
          <w:sz w:val="20"/>
          <w:szCs w:val="20"/>
        </w:rPr>
        <w:t>Zakres robót objętych SST</w:t>
      </w:r>
      <w:bookmarkEnd w:id="8"/>
    </w:p>
    <w:p w14:paraId="243B38FD"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Ustalenia zawarte w niniejszej specyfikacji dotyczą zasad prowadzenia robót ziemnych przy robotach jak w punkcie 1.1.</w:t>
      </w:r>
    </w:p>
    <w:p w14:paraId="0F0610E3"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9" w:name="_Toc407161217"/>
      <w:r w:rsidRPr="00DE21FF">
        <w:rPr>
          <w:sz w:val="20"/>
          <w:szCs w:val="20"/>
        </w:rPr>
        <w:t>Określenia podstawowe</w:t>
      </w:r>
      <w:bookmarkEnd w:id="9"/>
    </w:p>
    <w:p w14:paraId="76C2992C"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Podstawowe określenia zostały podane w SST D-02.00.01 pkt 1.4.</w:t>
      </w:r>
    </w:p>
    <w:p w14:paraId="227B1C7B"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10" w:name="_Toc407161218"/>
      <w:r w:rsidRPr="00DE21FF">
        <w:rPr>
          <w:sz w:val="20"/>
          <w:szCs w:val="20"/>
        </w:rPr>
        <w:t>Ogólne wymagania dotyczące robót</w:t>
      </w:r>
      <w:bookmarkEnd w:id="10"/>
    </w:p>
    <w:p w14:paraId="680058F2"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wymagania dotyczące robót podano w SST D-02.00.01 pkt 1.5.</w:t>
      </w:r>
    </w:p>
    <w:p w14:paraId="706139F1"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11" w:name="_Toc419000100"/>
      <w:bookmarkStart w:id="12" w:name="_Toc418998855"/>
      <w:bookmarkStart w:id="13" w:name="_Toc418998499"/>
      <w:bookmarkStart w:id="14" w:name="_Toc418997089"/>
      <w:bookmarkStart w:id="15" w:name="_Toc418996702"/>
      <w:bookmarkStart w:id="16" w:name="_Toc418996333"/>
      <w:bookmarkStart w:id="17" w:name="_Toc418994926"/>
      <w:bookmarkStart w:id="18" w:name="_Toc407161219"/>
      <w:bookmarkStart w:id="19" w:name="_Toc31621034"/>
      <w:r w:rsidRPr="00DE21FF">
        <w:rPr>
          <w:rFonts w:ascii="Times New Roman" w:hAnsi="Times New Roman"/>
          <w:color w:val="auto"/>
          <w:sz w:val="20"/>
          <w:szCs w:val="20"/>
        </w:rPr>
        <w:t>MATERIAŁY (GRUNTY)</w:t>
      </w:r>
      <w:bookmarkEnd w:id="11"/>
      <w:bookmarkEnd w:id="12"/>
      <w:bookmarkEnd w:id="13"/>
      <w:bookmarkEnd w:id="14"/>
      <w:bookmarkEnd w:id="15"/>
      <w:bookmarkEnd w:id="16"/>
      <w:bookmarkEnd w:id="17"/>
      <w:bookmarkEnd w:id="18"/>
      <w:bookmarkEnd w:id="19"/>
    </w:p>
    <w:p w14:paraId="5CF8C052"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Materiał występujący w podłożu wykopu jest gruntem rodzimym, który będzie stanowił podłoże nawierzchni. Zgodnie z Katalogiem typowych konstrukcji nawierzchni podatnych i półsztywnych [12] powinien charakteryzować się grupą nośności G1. Gdy podłoże nawierzchni zaklasyfikowano do innej grupy nośności, należy podłoże doprowadzić do grupy nośności G1 zgodnie z dokumentacja projektową i SST.</w:t>
      </w:r>
    </w:p>
    <w:p w14:paraId="4DF6E7AC"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20" w:name="_Toc419000101"/>
      <w:bookmarkStart w:id="21" w:name="_Toc418998856"/>
      <w:bookmarkStart w:id="22" w:name="_Toc418998500"/>
      <w:bookmarkStart w:id="23" w:name="_Toc418997090"/>
      <w:bookmarkStart w:id="24" w:name="_Toc418996703"/>
      <w:bookmarkStart w:id="25" w:name="_Toc418996334"/>
      <w:bookmarkStart w:id="26" w:name="_Toc418994927"/>
      <w:bookmarkStart w:id="27" w:name="_Toc407161220"/>
      <w:bookmarkStart w:id="28" w:name="_Toc31621035"/>
      <w:r w:rsidRPr="00DE21FF">
        <w:rPr>
          <w:rFonts w:ascii="Times New Roman" w:hAnsi="Times New Roman"/>
          <w:color w:val="auto"/>
          <w:sz w:val="20"/>
          <w:szCs w:val="20"/>
        </w:rPr>
        <w:t>SPRZĘT</w:t>
      </w:r>
      <w:bookmarkEnd w:id="20"/>
      <w:bookmarkEnd w:id="21"/>
      <w:bookmarkEnd w:id="22"/>
      <w:bookmarkEnd w:id="23"/>
      <w:bookmarkEnd w:id="24"/>
      <w:bookmarkEnd w:id="25"/>
      <w:bookmarkEnd w:id="26"/>
      <w:bookmarkEnd w:id="27"/>
      <w:bookmarkEnd w:id="28"/>
    </w:p>
    <w:p w14:paraId="1422A22E"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wymagania i ustalenia dotyczące sprzętu określono w SST D-02.00.01 pkt 3.</w:t>
      </w:r>
    </w:p>
    <w:p w14:paraId="0FB47962"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29" w:name="_Toc419000102"/>
      <w:bookmarkStart w:id="30" w:name="_Toc418998857"/>
      <w:bookmarkStart w:id="31" w:name="_Toc418998501"/>
      <w:bookmarkStart w:id="32" w:name="_Toc418997091"/>
      <w:bookmarkStart w:id="33" w:name="_Toc418996704"/>
      <w:bookmarkStart w:id="34" w:name="_Toc418996335"/>
      <w:bookmarkStart w:id="35" w:name="_Toc418994928"/>
      <w:bookmarkStart w:id="36" w:name="_Toc407161221"/>
      <w:bookmarkStart w:id="37" w:name="_Toc31621036"/>
      <w:r w:rsidRPr="00DE21FF">
        <w:rPr>
          <w:rFonts w:ascii="Times New Roman" w:hAnsi="Times New Roman"/>
          <w:color w:val="auto"/>
          <w:sz w:val="20"/>
          <w:szCs w:val="20"/>
        </w:rPr>
        <w:t>TRANSPORT</w:t>
      </w:r>
      <w:bookmarkEnd w:id="29"/>
      <w:bookmarkEnd w:id="30"/>
      <w:bookmarkEnd w:id="31"/>
      <w:bookmarkEnd w:id="32"/>
      <w:bookmarkEnd w:id="33"/>
      <w:bookmarkEnd w:id="34"/>
      <w:bookmarkEnd w:id="35"/>
      <w:bookmarkEnd w:id="36"/>
      <w:bookmarkEnd w:id="37"/>
    </w:p>
    <w:p w14:paraId="19A160B2"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wymagania i ustalenia dotyczące transportu określono w SST D-02.00.01 pkt 4.</w:t>
      </w:r>
    </w:p>
    <w:p w14:paraId="5F075A10"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38" w:name="_Toc419000103"/>
      <w:bookmarkStart w:id="39" w:name="_Toc418998858"/>
      <w:bookmarkStart w:id="40" w:name="_Toc418998502"/>
      <w:bookmarkStart w:id="41" w:name="_Toc418997092"/>
      <w:bookmarkStart w:id="42" w:name="_Toc418996705"/>
      <w:bookmarkStart w:id="43" w:name="_Toc418996336"/>
      <w:bookmarkStart w:id="44" w:name="_Toc418994929"/>
      <w:bookmarkStart w:id="45" w:name="_Toc407161222"/>
      <w:bookmarkStart w:id="46" w:name="_Toc31621037"/>
      <w:r w:rsidRPr="00DE21FF">
        <w:rPr>
          <w:rFonts w:ascii="Times New Roman" w:hAnsi="Times New Roman"/>
          <w:color w:val="auto"/>
          <w:sz w:val="20"/>
          <w:szCs w:val="20"/>
        </w:rPr>
        <w:t>WYKONANIE ROBÓT</w:t>
      </w:r>
      <w:bookmarkEnd w:id="38"/>
      <w:bookmarkEnd w:id="39"/>
      <w:bookmarkEnd w:id="40"/>
      <w:bookmarkEnd w:id="41"/>
      <w:bookmarkEnd w:id="42"/>
      <w:bookmarkEnd w:id="43"/>
      <w:bookmarkEnd w:id="44"/>
      <w:bookmarkEnd w:id="45"/>
      <w:bookmarkEnd w:id="46"/>
    </w:p>
    <w:p w14:paraId="38170A01"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47" w:name="_Toc407161223"/>
      <w:r w:rsidRPr="00DE21FF">
        <w:rPr>
          <w:sz w:val="20"/>
          <w:szCs w:val="20"/>
        </w:rPr>
        <w:t>Zasady prowadzenia robót</w:t>
      </w:r>
      <w:bookmarkEnd w:id="47"/>
    </w:p>
    <w:p w14:paraId="66E79B4F"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zasady prowadzenia robót podano w SST D-02.00.01 pkt 5.</w:t>
      </w:r>
    </w:p>
    <w:p w14:paraId="5E3E0275"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14:paraId="0BF13DC4"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Inspektora Nadzoru.</w:t>
      </w:r>
    </w:p>
    <w:p w14:paraId="40DB33F6"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Odspojone grunty przydatne do wykonania nasypów powinny być bezpośrednio wbudowane w nasyp lub przewiezione na odkład. O ile Inspektor Nadzoru dopuści czasowe składowanie odspojonych gruntów, należy je odpowiednio zabezpieczyć przed nadmiernym zawilgoceniem.</w:t>
      </w:r>
    </w:p>
    <w:p w14:paraId="34654134"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48" w:name="_Toc407161224"/>
      <w:r w:rsidRPr="00DE21FF">
        <w:rPr>
          <w:sz w:val="20"/>
          <w:szCs w:val="20"/>
        </w:rPr>
        <w:t>Wymagania dotyczące zagęszczenia</w:t>
      </w:r>
      <w:bookmarkEnd w:id="48"/>
      <w:r w:rsidRPr="00DE21FF">
        <w:rPr>
          <w:sz w:val="20"/>
          <w:szCs w:val="20"/>
        </w:rPr>
        <w:t xml:space="preserve"> i nośności gruntu</w:t>
      </w:r>
    </w:p>
    <w:p w14:paraId="2B8343C1"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Zagęszczenie gruntu w wykopach i miejscach zerowych robót ziemnych powinno spełniać wymagania, dotyczące minimalnej wartości wskaźnika zagęszczenia (I</w:t>
      </w:r>
      <w:r w:rsidRPr="00DE21FF">
        <w:rPr>
          <w:rFonts w:ascii="Times New Roman" w:hAnsi="Times New Roman"/>
          <w:sz w:val="20"/>
          <w:szCs w:val="20"/>
          <w:vertAlign w:val="subscript"/>
        </w:rPr>
        <w:t>s</w:t>
      </w:r>
      <w:r w:rsidRPr="00DE21FF">
        <w:rPr>
          <w:rFonts w:ascii="Times New Roman" w:hAnsi="Times New Roman"/>
          <w:sz w:val="20"/>
          <w:szCs w:val="20"/>
        </w:rPr>
        <w:t>), podanego w tablicy 1.</w:t>
      </w:r>
    </w:p>
    <w:p w14:paraId="65CB111D" w14:textId="77777777" w:rsidR="00E91242" w:rsidRPr="00DE21FF" w:rsidRDefault="00E91242" w:rsidP="00E91242">
      <w:pPr>
        <w:pStyle w:val="Tablica"/>
        <w:spacing w:before="0" w:after="0"/>
      </w:pPr>
      <w:r w:rsidRPr="00DE21FF">
        <w:t>Tablica 1. Minimalne wartości wskaźnika zagęszczenia w wykopach i miejscach zerowych robót ziemnych</w:t>
      </w:r>
    </w:p>
    <w:tbl>
      <w:tblPr>
        <w:tblW w:w="9690" w:type="dxa"/>
        <w:tblLayout w:type="fixed"/>
        <w:tblCellMar>
          <w:top w:w="57" w:type="dxa"/>
          <w:left w:w="57" w:type="dxa"/>
          <w:bottom w:w="57" w:type="dxa"/>
          <w:right w:w="57" w:type="dxa"/>
        </w:tblCellMar>
        <w:tblLook w:val="04A0" w:firstRow="1" w:lastRow="0" w:firstColumn="1" w:lastColumn="0" w:noHBand="0" w:noVBand="1"/>
      </w:tblPr>
      <w:tblGrid>
        <w:gridCol w:w="2962"/>
        <w:gridCol w:w="2165"/>
        <w:gridCol w:w="2279"/>
        <w:gridCol w:w="2284"/>
      </w:tblGrid>
      <w:tr w:rsidR="00E91242" w:rsidRPr="00DE21FF" w14:paraId="55083199" w14:textId="77777777" w:rsidTr="00FA06FB">
        <w:trPr>
          <w:cantSplit/>
        </w:trPr>
        <w:tc>
          <w:tcPr>
            <w:tcW w:w="2964" w:type="dxa"/>
            <w:vMerge w:val="restart"/>
            <w:tcBorders>
              <w:top w:val="single" w:sz="6" w:space="0" w:color="auto"/>
              <w:left w:val="single" w:sz="6" w:space="0" w:color="auto"/>
              <w:bottom w:val="double" w:sz="6" w:space="0" w:color="auto"/>
              <w:right w:val="nil"/>
            </w:tcBorders>
            <w:vAlign w:val="center"/>
            <w:hideMark/>
          </w:tcPr>
          <w:p w14:paraId="3A5C62BF" w14:textId="77777777" w:rsidR="00E91242" w:rsidRPr="00DE21FF" w:rsidRDefault="00E91242" w:rsidP="00FA06FB">
            <w:pPr>
              <w:keepNext/>
              <w:spacing w:after="0" w:line="240" w:lineRule="auto"/>
              <w:jc w:val="center"/>
              <w:rPr>
                <w:rFonts w:ascii="Times New Roman" w:hAnsi="Times New Roman"/>
                <w:sz w:val="20"/>
                <w:szCs w:val="20"/>
              </w:rPr>
            </w:pPr>
            <w:r w:rsidRPr="00DE21FF">
              <w:rPr>
                <w:rFonts w:ascii="Times New Roman" w:hAnsi="Times New Roman"/>
                <w:sz w:val="20"/>
                <w:szCs w:val="20"/>
              </w:rPr>
              <w:t>Strefa</w:t>
            </w:r>
          </w:p>
          <w:p w14:paraId="054511BB"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korpusu</w:t>
            </w:r>
          </w:p>
        </w:tc>
        <w:tc>
          <w:tcPr>
            <w:tcW w:w="6731" w:type="dxa"/>
            <w:gridSpan w:val="3"/>
            <w:tcBorders>
              <w:top w:val="single" w:sz="6" w:space="0" w:color="auto"/>
              <w:left w:val="single" w:sz="6" w:space="0" w:color="auto"/>
              <w:bottom w:val="nil"/>
              <w:right w:val="single" w:sz="6" w:space="0" w:color="auto"/>
            </w:tcBorders>
            <w:vAlign w:val="center"/>
            <w:hideMark/>
          </w:tcPr>
          <w:p w14:paraId="45C5EC54"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Minimalna wartość I</w:t>
            </w:r>
            <w:r w:rsidRPr="00DE21FF">
              <w:rPr>
                <w:rFonts w:ascii="Times New Roman" w:hAnsi="Times New Roman"/>
                <w:sz w:val="20"/>
                <w:szCs w:val="20"/>
                <w:vertAlign w:val="subscript"/>
              </w:rPr>
              <w:t>s</w:t>
            </w:r>
            <w:r w:rsidRPr="00DE21FF">
              <w:rPr>
                <w:rFonts w:ascii="Times New Roman" w:hAnsi="Times New Roman"/>
                <w:sz w:val="20"/>
                <w:szCs w:val="20"/>
              </w:rPr>
              <w:t xml:space="preserve"> dla:</w:t>
            </w:r>
          </w:p>
        </w:tc>
      </w:tr>
      <w:tr w:rsidR="00E91242" w:rsidRPr="00DE21FF" w14:paraId="66B405D2" w14:textId="77777777" w:rsidTr="00FA06FB">
        <w:trPr>
          <w:cantSplit/>
        </w:trPr>
        <w:tc>
          <w:tcPr>
            <w:tcW w:w="2964" w:type="dxa"/>
            <w:vMerge/>
            <w:tcBorders>
              <w:top w:val="single" w:sz="6" w:space="0" w:color="auto"/>
              <w:left w:val="single" w:sz="6" w:space="0" w:color="auto"/>
              <w:bottom w:val="double" w:sz="6" w:space="0" w:color="auto"/>
              <w:right w:val="nil"/>
            </w:tcBorders>
            <w:vAlign w:val="center"/>
            <w:hideMark/>
          </w:tcPr>
          <w:p w14:paraId="3663A7AE" w14:textId="77777777" w:rsidR="00E91242" w:rsidRPr="00DE21FF" w:rsidRDefault="00E91242" w:rsidP="00FA06FB">
            <w:pPr>
              <w:spacing w:after="0" w:line="240" w:lineRule="auto"/>
              <w:rPr>
                <w:rFonts w:ascii="Times New Roman" w:hAnsi="Times New Roman"/>
                <w:sz w:val="20"/>
                <w:szCs w:val="20"/>
              </w:rPr>
            </w:pPr>
          </w:p>
        </w:tc>
        <w:tc>
          <w:tcPr>
            <w:tcW w:w="2166" w:type="dxa"/>
            <w:vMerge w:val="restart"/>
            <w:tcBorders>
              <w:top w:val="single" w:sz="6" w:space="0" w:color="auto"/>
              <w:left w:val="single" w:sz="6" w:space="0" w:color="auto"/>
              <w:bottom w:val="double" w:sz="6" w:space="0" w:color="auto"/>
              <w:right w:val="nil"/>
            </w:tcBorders>
            <w:vAlign w:val="center"/>
            <w:hideMark/>
          </w:tcPr>
          <w:p w14:paraId="282483AC"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autostrad i dróg ekspresowych</w:t>
            </w:r>
          </w:p>
        </w:tc>
        <w:tc>
          <w:tcPr>
            <w:tcW w:w="4565" w:type="dxa"/>
            <w:gridSpan w:val="2"/>
            <w:tcBorders>
              <w:top w:val="single" w:sz="6" w:space="0" w:color="auto"/>
              <w:left w:val="single" w:sz="6" w:space="0" w:color="auto"/>
              <w:bottom w:val="single" w:sz="6" w:space="0" w:color="auto"/>
              <w:right w:val="single" w:sz="6" w:space="0" w:color="auto"/>
            </w:tcBorders>
            <w:vAlign w:val="center"/>
            <w:hideMark/>
          </w:tcPr>
          <w:p w14:paraId="1BDC1F93"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innych dróg</w:t>
            </w:r>
          </w:p>
        </w:tc>
      </w:tr>
      <w:tr w:rsidR="00E91242" w:rsidRPr="00DE21FF" w14:paraId="4AB4EE63" w14:textId="77777777" w:rsidTr="00FA06FB">
        <w:trPr>
          <w:cantSplit/>
        </w:trPr>
        <w:tc>
          <w:tcPr>
            <w:tcW w:w="2964" w:type="dxa"/>
            <w:vMerge/>
            <w:tcBorders>
              <w:top w:val="single" w:sz="6" w:space="0" w:color="auto"/>
              <w:left w:val="single" w:sz="6" w:space="0" w:color="auto"/>
              <w:bottom w:val="double" w:sz="6" w:space="0" w:color="auto"/>
              <w:right w:val="nil"/>
            </w:tcBorders>
            <w:vAlign w:val="center"/>
            <w:hideMark/>
          </w:tcPr>
          <w:p w14:paraId="235024B4" w14:textId="77777777" w:rsidR="00E91242" w:rsidRPr="00DE21FF" w:rsidRDefault="00E91242" w:rsidP="00FA06FB">
            <w:pPr>
              <w:spacing w:after="0" w:line="240" w:lineRule="auto"/>
              <w:rPr>
                <w:rFonts w:ascii="Times New Roman" w:hAnsi="Times New Roman"/>
                <w:sz w:val="20"/>
                <w:szCs w:val="20"/>
              </w:rPr>
            </w:pPr>
          </w:p>
        </w:tc>
        <w:tc>
          <w:tcPr>
            <w:tcW w:w="6731" w:type="dxa"/>
            <w:vMerge/>
            <w:tcBorders>
              <w:top w:val="single" w:sz="6" w:space="0" w:color="auto"/>
              <w:left w:val="single" w:sz="6" w:space="0" w:color="auto"/>
              <w:bottom w:val="double" w:sz="6" w:space="0" w:color="auto"/>
              <w:right w:val="nil"/>
            </w:tcBorders>
            <w:vAlign w:val="center"/>
            <w:hideMark/>
          </w:tcPr>
          <w:p w14:paraId="549CD7F1" w14:textId="77777777" w:rsidR="00E91242" w:rsidRPr="00DE21FF" w:rsidRDefault="00E91242" w:rsidP="00FA06FB">
            <w:pPr>
              <w:spacing w:after="0" w:line="240" w:lineRule="auto"/>
              <w:rPr>
                <w:rFonts w:ascii="Times New Roman" w:hAnsi="Times New Roman"/>
                <w:sz w:val="20"/>
                <w:szCs w:val="20"/>
              </w:rPr>
            </w:pPr>
          </w:p>
        </w:tc>
        <w:tc>
          <w:tcPr>
            <w:tcW w:w="2280" w:type="dxa"/>
            <w:tcBorders>
              <w:top w:val="single" w:sz="6" w:space="0" w:color="auto"/>
              <w:left w:val="single" w:sz="6" w:space="0" w:color="auto"/>
              <w:bottom w:val="double" w:sz="6" w:space="0" w:color="auto"/>
              <w:right w:val="single" w:sz="6" w:space="0" w:color="auto"/>
            </w:tcBorders>
            <w:vAlign w:val="center"/>
            <w:hideMark/>
          </w:tcPr>
          <w:p w14:paraId="20152E7D"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kategoria ruchu KR3-KR6</w:t>
            </w:r>
          </w:p>
        </w:tc>
        <w:tc>
          <w:tcPr>
            <w:tcW w:w="2285" w:type="dxa"/>
            <w:tcBorders>
              <w:top w:val="single" w:sz="6" w:space="0" w:color="auto"/>
              <w:left w:val="single" w:sz="6" w:space="0" w:color="auto"/>
              <w:bottom w:val="double" w:sz="6" w:space="0" w:color="auto"/>
              <w:right w:val="single" w:sz="6" w:space="0" w:color="auto"/>
            </w:tcBorders>
            <w:vAlign w:val="center"/>
            <w:hideMark/>
          </w:tcPr>
          <w:p w14:paraId="67A54780"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kategoria ruchu KR1-KR2</w:t>
            </w:r>
          </w:p>
        </w:tc>
      </w:tr>
      <w:tr w:rsidR="00E91242" w:rsidRPr="00DE21FF" w14:paraId="264DD9C6" w14:textId="77777777" w:rsidTr="00FA06FB">
        <w:trPr>
          <w:cantSplit/>
        </w:trPr>
        <w:tc>
          <w:tcPr>
            <w:tcW w:w="2964" w:type="dxa"/>
            <w:tcBorders>
              <w:top w:val="nil"/>
              <w:left w:val="single" w:sz="6" w:space="0" w:color="auto"/>
              <w:bottom w:val="single" w:sz="6" w:space="0" w:color="auto"/>
              <w:right w:val="single" w:sz="6" w:space="0" w:color="auto"/>
            </w:tcBorders>
            <w:vAlign w:val="center"/>
            <w:hideMark/>
          </w:tcPr>
          <w:p w14:paraId="1A2A3398" w14:textId="77777777" w:rsidR="00E91242" w:rsidRPr="00DE21FF" w:rsidRDefault="00E91242" w:rsidP="00FA06FB">
            <w:pPr>
              <w:overflowPunct w:val="0"/>
              <w:autoSpaceDE w:val="0"/>
              <w:autoSpaceDN w:val="0"/>
              <w:adjustRightInd w:val="0"/>
              <w:spacing w:after="0" w:line="240" w:lineRule="auto"/>
              <w:jc w:val="both"/>
              <w:rPr>
                <w:rFonts w:ascii="Times New Roman" w:hAnsi="Times New Roman"/>
                <w:sz w:val="20"/>
                <w:szCs w:val="20"/>
              </w:rPr>
            </w:pPr>
            <w:r w:rsidRPr="00DE21FF">
              <w:rPr>
                <w:rFonts w:ascii="Times New Roman" w:hAnsi="Times New Roman"/>
                <w:sz w:val="20"/>
                <w:szCs w:val="20"/>
              </w:rPr>
              <w:t>Górna warstwa o grubości 20 cm</w:t>
            </w:r>
          </w:p>
        </w:tc>
        <w:tc>
          <w:tcPr>
            <w:tcW w:w="2166" w:type="dxa"/>
            <w:tcBorders>
              <w:top w:val="nil"/>
              <w:left w:val="single" w:sz="6" w:space="0" w:color="auto"/>
              <w:bottom w:val="single" w:sz="6" w:space="0" w:color="auto"/>
              <w:right w:val="single" w:sz="6" w:space="0" w:color="auto"/>
            </w:tcBorders>
            <w:vAlign w:val="center"/>
            <w:hideMark/>
          </w:tcPr>
          <w:p w14:paraId="600A09B6"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1,03</w:t>
            </w:r>
          </w:p>
        </w:tc>
        <w:tc>
          <w:tcPr>
            <w:tcW w:w="2280" w:type="dxa"/>
            <w:tcBorders>
              <w:top w:val="nil"/>
              <w:left w:val="single" w:sz="6" w:space="0" w:color="auto"/>
              <w:bottom w:val="single" w:sz="6" w:space="0" w:color="auto"/>
              <w:right w:val="single" w:sz="6" w:space="0" w:color="auto"/>
            </w:tcBorders>
            <w:vAlign w:val="center"/>
            <w:hideMark/>
          </w:tcPr>
          <w:p w14:paraId="7C236D7F"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1,00</w:t>
            </w:r>
          </w:p>
        </w:tc>
        <w:tc>
          <w:tcPr>
            <w:tcW w:w="2285" w:type="dxa"/>
            <w:tcBorders>
              <w:top w:val="nil"/>
              <w:left w:val="single" w:sz="6" w:space="0" w:color="auto"/>
              <w:bottom w:val="single" w:sz="6" w:space="0" w:color="auto"/>
              <w:right w:val="single" w:sz="6" w:space="0" w:color="auto"/>
            </w:tcBorders>
            <w:vAlign w:val="center"/>
            <w:hideMark/>
          </w:tcPr>
          <w:p w14:paraId="762C8DEE"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1,00</w:t>
            </w:r>
          </w:p>
        </w:tc>
      </w:tr>
      <w:tr w:rsidR="00E91242" w:rsidRPr="00DE21FF" w14:paraId="201AE91C" w14:textId="77777777" w:rsidTr="00FA06FB">
        <w:trPr>
          <w:cantSplit/>
        </w:trPr>
        <w:tc>
          <w:tcPr>
            <w:tcW w:w="2964" w:type="dxa"/>
            <w:tcBorders>
              <w:top w:val="single" w:sz="6" w:space="0" w:color="auto"/>
              <w:left w:val="single" w:sz="6" w:space="0" w:color="auto"/>
              <w:bottom w:val="single" w:sz="6" w:space="0" w:color="auto"/>
              <w:right w:val="single" w:sz="6" w:space="0" w:color="auto"/>
            </w:tcBorders>
            <w:vAlign w:val="center"/>
            <w:hideMark/>
          </w:tcPr>
          <w:p w14:paraId="13A85394" w14:textId="77777777" w:rsidR="00E91242" w:rsidRPr="00DE21FF" w:rsidRDefault="00E91242" w:rsidP="00FA06FB">
            <w:pPr>
              <w:overflowPunct w:val="0"/>
              <w:autoSpaceDE w:val="0"/>
              <w:autoSpaceDN w:val="0"/>
              <w:adjustRightInd w:val="0"/>
              <w:spacing w:after="0" w:line="240" w:lineRule="auto"/>
              <w:jc w:val="both"/>
              <w:rPr>
                <w:rFonts w:ascii="Times New Roman" w:hAnsi="Times New Roman"/>
                <w:sz w:val="20"/>
                <w:szCs w:val="20"/>
              </w:rPr>
            </w:pPr>
            <w:r w:rsidRPr="00DE21FF">
              <w:rPr>
                <w:rFonts w:ascii="Times New Roman" w:hAnsi="Times New Roman"/>
                <w:sz w:val="20"/>
                <w:szCs w:val="20"/>
              </w:rPr>
              <w:t>Na głębokości od 20 do 50 cm od powierzchni robót ziemnych</w:t>
            </w:r>
          </w:p>
        </w:tc>
        <w:tc>
          <w:tcPr>
            <w:tcW w:w="2166" w:type="dxa"/>
            <w:tcBorders>
              <w:top w:val="single" w:sz="6" w:space="0" w:color="auto"/>
              <w:left w:val="single" w:sz="6" w:space="0" w:color="auto"/>
              <w:bottom w:val="single" w:sz="6" w:space="0" w:color="auto"/>
              <w:right w:val="single" w:sz="6" w:space="0" w:color="auto"/>
            </w:tcBorders>
            <w:vAlign w:val="center"/>
            <w:hideMark/>
          </w:tcPr>
          <w:p w14:paraId="3B9B15A7"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1,00</w:t>
            </w:r>
          </w:p>
        </w:tc>
        <w:tc>
          <w:tcPr>
            <w:tcW w:w="2280" w:type="dxa"/>
            <w:tcBorders>
              <w:top w:val="single" w:sz="6" w:space="0" w:color="auto"/>
              <w:left w:val="single" w:sz="6" w:space="0" w:color="auto"/>
              <w:bottom w:val="single" w:sz="6" w:space="0" w:color="auto"/>
              <w:right w:val="single" w:sz="6" w:space="0" w:color="auto"/>
            </w:tcBorders>
            <w:vAlign w:val="center"/>
            <w:hideMark/>
          </w:tcPr>
          <w:p w14:paraId="479A8D0C"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1,00</w:t>
            </w:r>
          </w:p>
        </w:tc>
        <w:tc>
          <w:tcPr>
            <w:tcW w:w="2285" w:type="dxa"/>
            <w:tcBorders>
              <w:top w:val="single" w:sz="6" w:space="0" w:color="auto"/>
              <w:left w:val="single" w:sz="6" w:space="0" w:color="auto"/>
              <w:bottom w:val="single" w:sz="6" w:space="0" w:color="auto"/>
              <w:right w:val="single" w:sz="6" w:space="0" w:color="auto"/>
            </w:tcBorders>
            <w:vAlign w:val="center"/>
            <w:hideMark/>
          </w:tcPr>
          <w:p w14:paraId="0F21D5FC" w14:textId="77777777" w:rsidR="00E91242" w:rsidRPr="00DE21FF" w:rsidRDefault="00E91242" w:rsidP="00FA06FB">
            <w:pPr>
              <w:keepNext/>
              <w:overflowPunct w:val="0"/>
              <w:autoSpaceDE w:val="0"/>
              <w:autoSpaceDN w:val="0"/>
              <w:adjustRightInd w:val="0"/>
              <w:spacing w:after="0" w:line="240" w:lineRule="auto"/>
              <w:jc w:val="center"/>
              <w:rPr>
                <w:rFonts w:ascii="Times New Roman" w:hAnsi="Times New Roman"/>
                <w:sz w:val="20"/>
                <w:szCs w:val="20"/>
              </w:rPr>
            </w:pPr>
            <w:r w:rsidRPr="00DE21FF">
              <w:rPr>
                <w:rFonts w:ascii="Times New Roman" w:hAnsi="Times New Roman"/>
                <w:sz w:val="20"/>
                <w:szCs w:val="20"/>
              </w:rPr>
              <w:t>0,97</w:t>
            </w:r>
          </w:p>
        </w:tc>
      </w:tr>
    </w:tbl>
    <w:p w14:paraId="436D925E" w14:textId="77777777" w:rsidR="00E91242" w:rsidRPr="00DE21FF" w:rsidRDefault="00E91242" w:rsidP="00E91242">
      <w:pPr>
        <w:spacing w:after="0" w:line="240" w:lineRule="auto"/>
        <w:rPr>
          <w:rFonts w:ascii="Times New Roman" w:hAnsi="Times New Roman"/>
          <w:sz w:val="20"/>
          <w:szCs w:val="20"/>
        </w:rPr>
      </w:pPr>
    </w:p>
    <w:p w14:paraId="5D94E6A8"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lastRenderedPageBreak/>
        <w:t>Jeżeli grunty rodzime w wykopach i miejscach zerowych nie spełniają wymaganego wskaźnika zagęszczenia, to przed ułożeniem konstrukcji nawierzchni należy je dogęścić do wartości I</w:t>
      </w:r>
      <w:r w:rsidRPr="00DE21FF">
        <w:rPr>
          <w:rFonts w:ascii="Times New Roman" w:hAnsi="Times New Roman"/>
          <w:sz w:val="20"/>
          <w:szCs w:val="20"/>
          <w:vertAlign w:val="subscript"/>
        </w:rPr>
        <w:t>s</w:t>
      </w:r>
      <w:r w:rsidRPr="00DE21FF">
        <w:rPr>
          <w:rFonts w:ascii="Times New Roman" w:hAnsi="Times New Roman"/>
          <w:sz w:val="20"/>
          <w:szCs w:val="20"/>
        </w:rPr>
        <w:t>, podanych w tablicy 1.</w:t>
      </w:r>
    </w:p>
    <w:p w14:paraId="346191F3"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Inspektorowi Nadzoru.</w:t>
      </w:r>
    </w:p>
    <w:p w14:paraId="1E28E5BB"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Dodatkowo można sprawdzić nośność warstwy gruntu na powierzchni robót ziemnych na podstawie pomiaru wtórnego modułu odkształcenia E</w:t>
      </w:r>
      <w:r w:rsidRPr="00DE21FF">
        <w:rPr>
          <w:rFonts w:ascii="Times New Roman" w:hAnsi="Times New Roman"/>
          <w:sz w:val="20"/>
          <w:szCs w:val="20"/>
          <w:vertAlign w:val="subscript"/>
        </w:rPr>
        <w:t>2</w:t>
      </w:r>
      <w:r w:rsidRPr="00DE21FF">
        <w:rPr>
          <w:rFonts w:ascii="Times New Roman" w:hAnsi="Times New Roman"/>
          <w:sz w:val="20"/>
          <w:szCs w:val="20"/>
        </w:rPr>
        <w:t xml:space="preserve"> zgodnie z PN-02205:1998 [4] rysunek 4.</w:t>
      </w:r>
    </w:p>
    <w:p w14:paraId="2201F13B"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49" w:name="_Toc407161225"/>
      <w:r w:rsidRPr="00DE21FF">
        <w:rPr>
          <w:sz w:val="20"/>
          <w:szCs w:val="20"/>
        </w:rPr>
        <w:t>Ruch budowlany</w:t>
      </w:r>
      <w:bookmarkEnd w:id="49"/>
    </w:p>
    <w:p w14:paraId="3F90240C"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Nie należy dopuszczać ruchu budowlanego po dnie wykopu o ile grubość warstwy gruntu (nadkładu) powyżej rzędnych robót ziemnych jest mniejsza niż 0,3 m.</w:t>
      </w:r>
    </w:p>
    <w:p w14:paraId="17C3C25E"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Z chwilą przystąpienia do ostatecznego profilowania dna wykopu dopuszcza się po nim jedynie ruch maszyn wykonujących tę czynność budowlaną. Może odbywać się jedynie sporadyczny ruch pojazdów, które nie spowodują uszkodzeń powierzchni korpusu.</w:t>
      </w:r>
    </w:p>
    <w:p w14:paraId="4C045A1A"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Naprawa uszkodzeń powierzchni robót ziemnych, wynikających z niedotrzymania podanych powyżej warunków obciąża Wykonawcę robót ziemnych.</w:t>
      </w:r>
    </w:p>
    <w:p w14:paraId="5E017BFF"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50" w:name="_Toc419000104"/>
      <w:bookmarkStart w:id="51" w:name="_Toc418998859"/>
      <w:bookmarkStart w:id="52" w:name="_Toc418998503"/>
      <w:bookmarkStart w:id="53" w:name="_Toc418997093"/>
      <w:bookmarkStart w:id="54" w:name="_Toc418996706"/>
      <w:bookmarkStart w:id="55" w:name="_Toc418996337"/>
      <w:bookmarkStart w:id="56" w:name="_Toc418994930"/>
      <w:bookmarkStart w:id="57" w:name="_Toc407161226"/>
      <w:bookmarkStart w:id="58" w:name="_Toc31621038"/>
      <w:r w:rsidRPr="00DE21FF">
        <w:rPr>
          <w:rFonts w:ascii="Times New Roman" w:hAnsi="Times New Roman"/>
          <w:color w:val="auto"/>
          <w:sz w:val="20"/>
          <w:szCs w:val="20"/>
        </w:rPr>
        <w:t>KONTROLA JAKOŚCI ROBÓT</w:t>
      </w:r>
      <w:bookmarkEnd w:id="50"/>
      <w:bookmarkEnd w:id="51"/>
      <w:bookmarkEnd w:id="52"/>
      <w:bookmarkEnd w:id="53"/>
      <w:bookmarkEnd w:id="54"/>
      <w:bookmarkEnd w:id="55"/>
      <w:bookmarkEnd w:id="56"/>
      <w:bookmarkEnd w:id="57"/>
      <w:bookmarkEnd w:id="58"/>
    </w:p>
    <w:p w14:paraId="79FEDCB2"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59" w:name="_Toc407161227"/>
      <w:r w:rsidRPr="00DE21FF">
        <w:rPr>
          <w:sz w:val="20"/>
          <w:szCs w:val="20"/>
        </w:rPr>
        <w:t>Ogólne zasady kontroli jakości robót</w:t>
      </w:r>
      <w:bookmarkEnd w:id="59"/>
    </w:p>
    <w:p w14:paraId="41658A8E"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zasady kontroli jakości robót podano w SST D-02.00.01 pkt 6.</w:t>
      </w:r>
    </w:p>
    <w:p w14:paraId="6F814705"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60" w:name="_Toc407161228"/>
      <w:r w:rsidRPr="00DE21FF">
        <w:rPr>
          <w:sz w:val="20"/>
          <w:szCs w:val="20"/>
        </w:rPr>
        <w:t>Kontrola wykonania wykopów</w:t>
      </w:r>
      <w:bookmarkEnd w:id="60"/>
    </w:p>
    <w:p w14:paraId="4D8E7810"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Kontrola wykonania wykopów polega na sprawdzeniu zgodności z wymaganiami określonymi w dokumentacji projektowej i SST. W czasie kontroli szczególną uwagę należy zwrócić na:</w:t>
      </w:r>
    </w:p>
    <w:p w14:paraId="6DA0D15B" w14:textId="77777777" w:rsidR="00E91242" w:rsidRPr="00DE21FF" w:rsidRDefault="00E91242" w:rsidP="00E91242">
      <w:pPr>
        <w:pStyle w:val="Listanumerowana2"/>
        <w:numPr>
          <w:ilvl w:val="0"/>
          <w:numId w:val="4"/>
        </w:numPr>
        <w:textAlignment w:val="auto"/>
      </w:pPr>
      <w:r w:rsidRPr="00DE21FF">
        <w:t>sposób odspajania gruntów nie pogarszający ich właściwości,</w:t>
      </w:r>
    </w:p>
    <w:p w14:paraId="4D8C7E34" w14:textId="77777777" w:rsidR="00E91242" w:rsidRPr="00DE21FF" w:rsidRDefault="00E91242" w:rsidP="00E91242">
      <w:pPr>
        <w:pStyle w:val="Listanumerowana2"/>
        <w:numPr>
          <w:ilvl w:val="0"/>
          <w:numId w:val="4"/>
        </w:numPr>
        <w:textAlignment w:val="auto"/>
      </w:pPr>
      <w:r w:rsidRPr="00DE21FF">
        <w:t>zapewnienie stateczności skarp,</w:t>
      </w:r>
    </w:p>
    <w:p w14:paraId="21D26B55" w14:textId="77777777" w:rsidR="00E91242" w:rsidRPr="00DE21FF" w:rsidRDefault="00E91242" w:rsidP="00E91242">
      <w:pPr>
        <w:pStyle w:val="Listanumerowana2"/>
        <w:numPr>
          <w:ilvl w:val="0"/>
          <w:numId w:val="4"/>
        </w:numPr>
        <w:textAlignment w:val="auto"/>
      </w:pPr>
      <w:r w:rsidRPr="00DE21FF">
        <w:t>odwodnienie wykopów w czasie wykonywania robót i po ich zakończeniu,</w:t>
      </w:r>
    </w:p>
    <w:p w14:paraId="206C5893" w14:textId="77777777" w:rsidR="00E91242" w:rsidRPr="00DE21FF" w:rsidRDefault="00E91242" w:rsidP="00E91242">
      <w:pPr>
        <w:pStyle w:val="Listanumerowana2"/>
        <w:numPr>
          <w:ilvl w:val="0"/>
          <w:numId w:val="4"/>
        </w:numPr>
        <w:textAlignment w:val="auto"/>
      </w:pPr>
      <w:r w:rsidRPr="00DE21FF">
        <w:t>dokładność wykonania wykopów (usytuowanie i wykończenie),</w:t>
      </w:r>
    </w:p>
    <w:p w14:paraId="778EB7D2" w14:textId="77777777" w:rsidR="00E91242" w:rsidRPr="00DE21FF" w:rsidRDefault="00E91242" w:rsidP="00E91242">
      <w:pPr>
        <w:pStyle w:val="Listanumerowana2"/>
        <w:numPr>
          <w:ilvl w:val="0"/>
          <w:numId w:val="4"/>
        </w:numPr>
        <w:textAlignment w:val="auto"/>
      </w:pPr>
      <w:r w:rsidRPr="00DE21FF">
        <w:t>zagęszczenie górnej strefy korpusu w wykopie według wymagań określonych w p-kcie 5.2.</w:t>
      </w:r>
    </w:p>
    <w:p w14:paraId="392EEAE0"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61" w:name="_Toc419000105"/>
      <w:bookmarkStart w:id="62" w:name="_Toc418998860"/>
      <w:bookmarkStart w:id="63" w:name="_Toc418998504"/>
      <w:bookmarkStart w:id="64" w:name="_Toc418997094"/>
      <w:bookmarkStart w:id="65" w:name="_Toc418996707"/>
      <w:bookmarkStart w:id="66" w:name="_Toc418996338"/>
      <w:bookmarkStart w:id="67" w:name="_Toc418994931"/>
      <w:bookmarkStart w:id="68" w:name="_Toc407161229"/>
      <w:bookmarkStart w:id="69" w:name="_Toc31621039"/>
      <w:r w:rsidRPr="00DE21FF">
        <w:rPr>
          <w:rFonts w:ascii="Times New Roman" w:hAnsi="Times New Roman"/>
          <w:color w:val="auto"/>
          <w:sz w:val="20"/>
          <w:szCs w:val="20"/>
        </w:rPr>
        <w:t>OBMIAR ROBÓT</w:t>
      </w:r>
      <w:bookmarkEnd w:id="61"/>
      <w:bookmarkEnd w:id="62"/>
      <w:bookmarkEnd w:id="63"/>
      <w:bookmarkEnd w:id="64"/>
      <w:bookmarkEnd w:id="65"/>
      <w:bookmarkEnd w:id="66"/>
      <w:bookmarkEnd w:id="67"/>
      <w:bookmarkEnd w:id="68"/>
      <w:bookmarkEnd w:id="69"/>
    </w:p>
    <w:p w14:paraId="57F56951"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70" w:name="_Toc407161230"/>
      <w:r w:rsidRPr="00DE21FF">
        <w:rPr>
          <w:sz w:val="20"/>
          <w:szCs w:val="20"/>
        </w:rPr>
        <w:t>Ogólne zasady obmiaru robót</w:t>
      </w:r>
      <w:bookmarkEnd w:id="70"/>
    </w:p>
    <w:p w14:paraId="7CD62F60"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zasady obmiaru robót podano w SST D-02.00.01 pkt 7.</w:t>
      </w:r>
    </w:p>
    <w:p w14:paraId="3FE465BE"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71" w:name="_Toc407161231"/>
      <w:r w:rsidRPr="00DE21FF">
        <w:rPr>
          <w:sz w:val="20"/>
          <w:szCs w:val="20"/>
        </w:rPr>
        <w:t>Jednostka obmiarowa</w:t>
      </w:r>
      <w:bookmarkEnd w:id="71"/>
    </w:p>
    <w:p w14:paraId="38200B35"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Jednostką obmiarową jest m</w:t>
      </w:r>
      <w:r w:rsidRPr="00DE21FF">
        <w:rPr>
          <w:rFonts w:ascii="Times New Roman" w:hAnsi="Times New Roman"/>
          <w:sz w:val="20"/>
          <w:szCs w:val="20"/>
          <w:vertAlign w:val="superscript"/>
        </w:rPr>
        <w:t>3</w:t>
      </w:r>
      <w:r w:rsidRPr="00DE21FF">
        <w:rPr>
          <w:rFonts w:ascii="Times New Roman" w:hAnsi="Times New Roman"/>
          <w:sz w:val="20"/>
          <w:szCs w:val="20"/>
        </w:rPr>
        <w:t xml:space="preserve"> (metr sześcienny) wykonanego wykopu.</w:t>
      </w:r>
    </w:p>
    <w:p w14:paraId="405ABA49"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72" w:name="_Toc419000106"/>
      <w:bookmarkStart w:id="73" w:name="_Toc418998861"/>
      <w:bookmarkStart w:id="74" w:name="_Toc418998505"/>
      <w:bookmarkStart w:id="75" w:name="_Toc418997095"/>
      <w:bookmarkStart w:id="76" w:name="_Toc418996708"/>
      <w:bookmarkStart w:id="77" w:name="_Toc418996339"/>
      <w:bookmarkStart w:id="78" w:name="_Toc418994932"/>
      <w:bookmarkStart w:id="79" w:name="_Toc407161232"/>
      <w:bookmarkStart w:id="80" w:name="_Toc31621040"/>
      <w:r w:rsidRPr="00DE21FF">
        <w:rPr>
          <w:rFonts w:ascii="Times New Roman" w:hAnsi="Times New Roman"/>
          <w:color w:val="auto"/>
          <w:sz w:val="20"/>
          <w:szCs w:val="20"/>
        </w:rPr>
        <w:t>ODBIÓR ROBÓT</w:t>
      </w:r>
      <w:bookmarkEnd w:id="72"/>
      <w:bookmarkEnd w:id="73"/>
      <w:bookmarkEnd w:id="74"/>
      <w:bookmarkEnd w:id="75"/>
      <w:bookmarkEnd w:id="76"/>
      <w:bookmarkEnd w:id="77"/>
      <w:bookmarkEnd w:id="78"/>
      <w:bookmarkEnd w:id="79"/>
      <w:bookmarkEnd w:id="80"/>
    </w:p>
    <w:p w14:paraId="73A947AD"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zasady odbioru robót podano w SST D-02.00.01 pkt 8.</w:t>
      </w:r>
    </w:p>
    <w:p w14:paraId="402FAACA"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81" w:name="_Toc419000107"/>
      <w:bookmarkStart w:id="82" w:name="_Toc418998862"/>
      <w:bookmarkStart w:id="83" w:name="_Toc418998506"/>
      <w:bookmarkStart w:id="84" w:name="_Toc418997096"/>
      <w:bookmarkStart w:id="85" w:name="_Toc418996709"/>
      <w:bookmarkStart w:id="86" w:name="_Toc418996340"/>
      <w:bookmarkStart w:id="87" w:name="_Toc418994933"/>
      <w:bookmarkStart w:id="88" w:name="_Toc407161233"/>
      <w:bookmarkStart w:id="89" w:name="_Toc31621041"/>
      <w:r w:rsidRPr="00DE21FF">
        <w:rPr>
          <w:rFonts w:ascii="Times New Roman" w:hAnsi="Times New Roman"/>
          <w:color w:val="auto"/>
          <w:sz w:val="20"/>
          <w:szCs w:val="20"/>
        </w:rPr>
        <w:t>PODSTAWA PŁATNOŚCI</w:t>
      </w:r>
      <w:bookmarkEnd w:id="81"/>
      <w:bookmarkEnd w:id="82"/>
      <w:bookmarkEnd w:id="83"/>
      <w:bookmarkEnd w:id="84"/>
      <w:bookmarkEnd w:id="85"/>
      <w:bookmarkEnd w:id="86"/>
      <w:bookmarkEnd w:id="87"/>
      <w:bookmarkEnd w:id="88"/>
      <w:bookmarkEnd w:id="89"/>
    </w:p>
    <w:p w14:paraId="7FB7D36E"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90" w:name="_Toc407161234"/>
      <w:r w:rsidRPr="00DE21FF">
        <w:rPr>
          <w:sz w:val="20"/>
          <w:szCs w:val="20"/>
        </w:rPr>
        <w:t>Ogólne ustalenia dotyczące podstawy płatności</w:t>
      </w:r>
      <w:bookmarkEnd w:id="90"/>
    </w:p>
    <w:p w14:paraId="4A37312D"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Ogólne ustalenia dotyczące podstawy płatności podano w SST D-02.00.01 pkt 9.</w:t>
      </w:r>
    </w:p>
    <w:p w14:paraId="42665BE5" w14:textId="77777777" w:rsidR="00E91242" w:rsidRPr="00DE21FF" w:rsidRDefault="00E91242" w:rsidP="00E91242">
      <w:pPr>
        <w:pStyle w:val="Nagwek2"/>
        <w:numPr>
          <w:ilvl w:val="1"/>
          <w:numId w:val="6"/>
        </w:numPr>
        <w:tabs>
          <w:tab w:val="num" w:pos="360"/>
        </w:tabs>
        <w:adjustRightInd w:val="0"/>
        <w:spacing w:before="0" w:after="0"/>
        <w:ind w:left="680" w:firstLine="0"/>
        <w:rPr>
          <w:sz w:val="20"/>
          <w:szCs w:val="20"/>
        </w:rPr>
      </w:pPr>
      <w:bookmarkStart w:id="91" w:name="_Toc407161235"/>
      <w:r w:rsidRPr="00DE21FF">
        <w:rPr>
          <w:sz w:val="20"/>
          <w:szCs w:val="20"/>
        </w:rPr>
        <w:t>Cena jednostki obmiarowej</w:t>
      </w:r>
      <w:bookmarkEnd w:id="91"/>
    </w:p>
    <w:p w14:paraId="6BE04425" w14:textId="77777777" w:rsidR="00E91242" w:rsidRPr="00DE21FF"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Cena wykonania 1 m</w:t>
      </w:r>
      <w:r w:rsidRPr="00DE21FF">
        <w:rPr>
          <w:rFonts w:ascii="Times New Roman" w:hAnsi="Times New Roman"/>
          <w:sz w:val="20"/>
          <w:szCs w:val="20"/>
          <w:vertAlign w:val="superscript"/>
        </w:rPr>
        <w:t>3</w:t>
      </w:r>
      <w:r w:rsidRPr="00DE21FF">
        <w:rPr>
          <w:rFonts w:ascii="Times New Roman" w:hAnsi="Times New Roman"/>
          <w:sz w:val="20"/>
          <w:szCs w:val="20"/>
        </w:rPr>
        <w:t xml:space="preserve"> wykopów w gruntach nieskalistych obejmuje:</w:t>
      </w:r>
    </w:p>
    <w:p w14:paraId="15A3251F"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prace pomiarowe i roboty przygotowawcze,</w:t>
      </w:r>
    </w:p>
    <w:p w14:paraId="2ED3DC79"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oznakowanie robót,</w:t>
      </w:r>
    </w:p>
    <w:p w14:paraId="10BDC901"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wykonanie wykopu z transportem urobku na nasyp lub odkład, obejmujące: odspojenie, przemieszczenie, załadunek, przewiezienie i wyładunek,</w:t>
      </w:r>
    </w:p>
    <w:p w14:paraId="5BD4E3EF"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odwodnienie wykopu na czas jego wykonywania,</w:t>
      </w:r>
    </w:p>
    <w:p w14:paraId="113926FD"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profilowanie dna wykopu, rowów, skarp,</w:t>
      </w:r>
    </w:p>
    <w:p w14:paraId="58995F3F"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zagęszczenie powierzchni wykopu,</w:t>
      </w:r>
    </w:p>
    <w:p w14:paraId="0EE7DB97"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przeprowadzenie pomiarów i badań laboratoryjnych, wymaganych w specyfikacji technicznej,</w:t>
      </w:r>
    </w:p>
    <w:p w14:paraId="6FDFF250"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rozplantowanie urobku na odkładzie,</w:t>
      </w:r>
    </w:p>
    <w:p w14:paraId="7D5FEBAF"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wykonanie, a następnie rozebranie dróg dojazdowych,</w:t>
      </w:r>
    </w:p>
    <w:p w14:paraId="63E185E5" w14:textId="77777777" w:rsidR="00E91242" w:rsidRPr="00DE21FF" w:rsidRDefault="00E91242" w:rsidP="00E91242">
      <w:pPr>
        <w:pStyle w:val="Listapunktowana"/>
        <w:overflowPunct w:val="0"/>
        <w:autoSpaceDE w:val="0"/>
        <w:autoSpaceDN w:val="0"/>
        <w:adjustRightInd w:val="0"/>
        <w:spacing w:line="240" w:lineRule="auto"/>
        <w:ind w:left="340" w:hanging="340"/>
        <w:jc w:val="both"/>
        <w:rPr>
          <w:sz w:val="20"/>
          <w:szCs w:val="20"/>
        </w:rPr>
      </w:pPr>
      <w:r w:rsidRPr="00DE21FF">
        <w:rPr>
          <w:sz w:val="20"/>
          <w:szCs w:val="20"/>
        </w:rPr>
        <w:t>rekultywację terenu.</w:t>
      </w:r>
    </w:p>
    <w:p w14:paraId="5DDA7CA1" w14:textId="77777777" w:rsidR="00E91242" w:rsidRPr="00DE21FF" w:rsidRDefault="00E91242" w:rsidP="00E91242">
      <w:pPr>
        <w:pStyle w:val="Nagwek1"/>
        <w:widowControl/>
        <w:numPr>
          <w:ilvl w:val="0"/>
          <w:numId w:val="6"/>
        </w:numPr>
        <w:tabs>
          <w:tab w:val="num" w:pos="360"/>
        </w:tabs>
        <w:suppressAutoHyphens/>
        <w:overflowPunct w:val="0"/>
        <w:autoSpaceDE w:val="0"/>
        <w:autoSpaceDN w:val="0"/>
        <w:adjustRightInd w:val="0"/>
        <w:spacing w:before="0"/>
        <w:ind w:left="1021" w:hanging="341"/>
        <w:contextualSpacing/>
        <w:jc w:val="both"/>
        <w:rPr>
          <w:rFonts w:ascii="Times New Roman" w:hAnsi="Times New Roman"/>
          <w:color w:val="auto"/>
          <w:sz w:val="20"/>
          <w:szCs w:val="20"/>
        </w:rPr>
      </w:pPr>
      <w:bookmarkStart w:id="92" w:name="_Toc419000108"/>
      <w:bookmarkStart w:id="93" w:name="_Toc418998863"/>
      <w:bookmarkStart w:id="94" w:name="_Toc418998507"/>
      <w:bookmarkStart w:id="95" w:name="_Toc418997097"/>
      <w:bookmarkStart w:id="96" w:name="_Toc418996710"/>
      <w:bookmarkStart w:id="97" w:name="_Toc418996341"/>
      <w:bookmarkStart w:id="98" w:name="_Toc418994934"/>
      <w:bookmarkStart w:id="99" w:name="_Toc407161236"/>
      <w:bookmarkStart w:id="100" w:name="_Toc31621042"/>
      <w:r w:rsidRPr="00DE21FF">
        <w:rPr>
          <w:rFonts w:ascii="Times New Roman" w:hAnsi="Times New Roman"/>
          <w:color w:val="auto"/>
          <w:sz w:val="20"/>
          <w:szCs w:val="20"/>
        </w:rPr>
        <w:t>PRZEPISY ZWIĄZANE</w:t>
      </w:r>
      <w:bookmarkEnd w:id="92"/>
      <w:bookmarkEnd w:id="93"/>
      <w:bookmarkEnd w:id="94"/>
      <w:bookmarkEnd w:id="95"/>
      <w:bookmarkEnd w:id="96"/>
      <w:bookmarkEnd w:id="97"/>
      <w:bookmarkEnd w:id="98"/>
      <w:bookmarkEnd w:id="99"/>
      <w:bookmarkEnd w:id="100"/>
    </w:p>
    <w:p w14:paraId="21EC0F8C" w14:textId="77777777" w:rsidR="00E91242" w:rsidRDefault="00E91242" w:rsidP="00E91242">
      <w:pPr>
        <w:spacing w:after="0" w:line="240" w:lineRule="auto"/>
        <w:rPr>
          <w:rFonts w:ascii="Times New Roman" w:hAnsi="Times New Roman"/>
          <w:sz w:val="20"/>
          <w:szCs w:val="20"/>
        </w:rPr>
      </w:pPr>
      <w:r w:rsidRPr="00DE21FF">
        <w:rPr>
          <w:rFonts w:ascii="Times New Roman" w:hAnsi="Times New Roman"/>
          <w:sz w:val="20"/>
          <w:szCs w:val="20"/>
        </w:rPr>
        <w:t>Spis przepisów związanych podano w SST D-02.00.01 pkt 10.</w:t>
      </w:r>
      <w:bookmarkEnd w:id="3"/>
      <w:bookmarkEnd w:id="4"/>
    </w:p>
    <w:p w14:paraId="781D2647" w14:textId="77777777" w:rsidR="00E91242" w:rsidRDefault="00E91242" w:rsidP="00E91242">
      <w:pPr>
        <w:spacing w:after="0" w:line="240" w:lineRule="auto"/>
        <w:rPr>
          <w:rFonts w:ascii="Times New Roman" w:hAnsi="Times New Roman"/>
          <w:sz w:val="20"/>
          <w:szCs w:val="20"/>
        </w:rPr>
      </w:pPr>
    </w:p>
    <w:p w14:paraId="11526962" w14:textId="77777777" w:rsidR="00E91242" w:rsidRDefault="00E91242" w:rsidP="00E91242">
      <w:pPr>
        <w:spacing w:after="0" w:line="240" w:lineRule="auto"/>
        <w:rPr>
          <w:rFonts w:ascii="Times New Roman" w:hAnsi="Times New Roman"/>
          <w:sz w:val="20"/>
          <w:szCs w:val="20"/>
        </w:rPr>
      </w:pPr>
    </w:p>
    <w:p w14:paraId="21A1842F" w14:textId="77777777" w:rsidR="00E91242" w:rsidRDefault="00E91242" w:rsidP="00E91242">
      <w:pPr>
        <w:spacing w:after="0" w:line="240" w:lineRule="auto"/>
        <w:rPr>
          <w:rFonts w:ascii="Times New Roman" w:hAnsi="Times New Roman"/>
          <w:sz w:val="20"/>
          <w:szCs w:val="20"/>
        </w:rPr>
      </w:pPr>
    </w:p>
    <w:p w14:paraId="4C58BFA9" w14:textId="77777777" w:rsidR="00E91242" w:rsidRDefault="00E91242" w:rsidP="00E91242">
      <w:pPr>
        <w:spacing w:after="0" w:line="240" w:lineRule="auto"/>
        <w:rPr>
          <w:rFonts w:ascii="Times New Roman" w:hAnsi="Times New Roman"/>
          <w:sz w:val="20"/>
          <w:szCs w:val="20"/>
        </w:rPr>
      </w:pPr>
    </w:p>
    <w:p w14:paraId="03BDA644" w14:textId="77777777" w:rsidR="00E91242" w:rsidRDefault="00E91242" w:rsidP="00E91242">
      <w:pPr>
        <w:spacing w:after="0" w:line="240" w:lineRule="auto"/>
        <w:rPr>
          <w:rFonts w:ascii="Times New Roman" w:hAnsi="Times New Roman"/>
          <w:sz w:val="20"/>
          <w:szCs w:val="20"/>
        </w:rPr>
      </w:pPr>
    </w:p>
    <w:p w14:paraId="1DA03973" w14:textId="77777777" w:rsidR="00E91242" w:rsidRDefault="00E91242" w:rsidP="00E91242">
      <w:pPr>
        <w:spacing w:after="0" w:line="240" w:lineRule="auto"/>
        <w:rPr>
          <w:rFonts w:ascii="Times New Roman" w:hAnsi="Times New Roman"/>
          <w:sz w:val="20"/>
          <w:szCs w:val="20"/>
        </w:rPr>
      </w:pPr>
    </w:p>
    <w:p w14:paraId="26C8B3D7" w14:textId="77777777" w:rsidR="00E91242" w:rsidRDefault="00E91242" w:rsidP="00E91242">
      <w:pPr>
        <w:spacing w:after="0" w:line="240" w:lineRule="auto"/>
        <w:rPr>
          <w:rFonts w:ascii="Times New Roman" w:hAnsi="Times New Roman"/>
          <w:sz w:val="20"/>
          <w:szCs w:val="20"/>
        </w:rPr>
      </w:pPr>
    </w:p>
    <w:p w14:paraId="7CA80862" w14:textId="77777777" w:rsidR="00E91242" w:rsidRDefault="00E91242" w:rsidP="00E91242">
      <w:pPr>
        <w:spacing w:after="0" w:line="240" w:lineRule="auto"/>
        <w:rPr>
          <w:rFonts w:ascii="Times New Roman" w:hAnsi="Times New Roman"/>
          <w:sz w:val="20"/>
          <w:szCs w:val="20"/>
        </w:rPr>
      </w:pPr>
    </w:p>
    <w:p w14:paraId="55568A2A" w14:textId="77777777" w:rsidR="00E91242" w:rsidRDefault="00E91242" w:rsidP="00E91242">
      <w:pPr>
        <w:spacing w:after="0" w:line="240" w:lineRule="auto"/>
        <w:rPr>
          <w:rFonts w:ascii="Times New Roman" w:hAnsi="Times New Roman"/>
          <w:sz w:val="20"/>
          <w:szCs w:val="20"/>
        </w:rPr>
      </w:pPr>
    </w:p>
    <w:p w14:paraId="73FF631E" w14:textId="77777777" w:rsidR="00E91242" w:rsidRPr="00DE21FF" w:rsidRDefault="00E91242" w:rsidP="00E91242">
      <w:pPr>
        <w:spacing w:after="0" w:line="240" w:lineRule="auto"/>
        <w:rPr>
          <w:rFonts w:ascii="Times New Roman" w:hAnsi="Times New Roman"/>
          <w:sz w:val="20"/>
          <w:szCs w:val="20"/>
        </w:rPr>
      </w:pPr>
    </w:p>
    <w:p w14:paraId="278A6B63" w14:textId="77777777" w:rsidR="00E91242" w:rsidRPr="000A24B8" w:rsidRDefault="00E91242" w:rsidP="00E91242">
      <w:pPr>
        <w:pStyle w:val="Teksttreci0"/>
        <w:widowControl/>
        <w:shd w:val="clear" w:color="auto" w:fill="auto"/>
        <w:tabs>
          <w:tab w:val="left" w:pos="278"/>
        </w:tabs>
        <w:suppressAutoHyphens/>
        <w:spacing w:before="0" w:line="240" w:lineRule="auto"/>
        <w:ind w:firstLine="0"/>
        <w:rPr>
          <w:sz w:val="20"/>
          <w:szCs w:val="20"/>
        </w:rPr>
      </w:pPr>
    </w:p>
    <w:p w14:paraId="0446879D" w14:textId="77777777" w:rsidR="00E91242" w:rsidRPr="000A24B8" w:rsidRDefault="00E91242" w:rsidP="00E91242">
      <w:pPr>
        <w:pStyle w:val="Nagwek1"/>
        <w:spacing w:before="0"/>
        <w:rPr>
          <w:rFonts w:ascii="Times New Roman" w:hAnsi="Times New Roman"/>
          <w:sz w:val="20"/>
          <w:szCs w:val="20"/>
        </w:rPr>
      </w:pPr>
      <w:bookmarkStart w:id="101" w:name="_Toc22641591"/>
      <w:bookmarkStart w:id="102" w:name="_Toc31621043"/>
      <w:r w:rsidRPr="000A24B8">
        <w:rPr>
          <w:rFonts w:ascii="Times New Roman" w:hAnsi="Times New Roman"/>
          <w:sz w:val="20"/>
          <w:szCs w:val="20"/>
        </w:rPr>
        <w:t>D-01.02.04 ROZBIÓRKA ELEMENTÓW DRÓG, OGRODZEŃ I PRZEPUSTÓW</w:t>
      </w:r>
      <w:bookmarkEnd w:id="101"/>
      <w:bookmarkEnd w:id="102"/>
    </w:p>
    <w:p w14:paraId="20CD52ED"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p>
    <w:p w14:paraId="7FF30D1C"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 WSTĘP</w:t>
      </w:r>
    </w:p>
    <w:p w14:paraId="2A4AE22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1.1.Przedmiot OST</w:t>
      </w:r>
    </w:p>
    <w:p w14:paraId="15D30375" w14:textId="77777777" w:rsidR="00E91242" w:rsidRPr="001010CF" w:rsidRDefault="00E91242" w:rsidP="00E91242">
      <w:pPr>
        <w:pStyle w:val="Teksttreci0"/>
        <w:widowControl/>
        <w:shd w:val="clear" w:color="auto" w:fill="auto"/>
        <w:suppressAutoHyphens/>
        <w:spacing w:before="0" w:line="240" w:lineRule="auto"/>
        <w:ind w:firstLine="0"/>
        <w:rPr>
          <w:rStyle w:val="PogrubienieTeksttreci115pt"/>
          <w:sz w:val="20"/>
          <w:szCs w:val="20"/>
        </w:rPr>
      </w:pPr>
      <w:r w:rsidRPr="000A24B8">
        <w:rPr>
          <w:b/>
          <w:sz w:val="20"/>
          <w:szCs w:val="20"/>
        </w:rPr>
        <w:tab/>
      </w:r>
      <w:r w:rsidRPr="000A24B8">
        <w:rPr>
          <w:sz w:val="20"/>
          <w:szCs w:val="20"/>
        </w:rPr>
        <w:t>Przedmiotem niniejszej ogólnej specyfikacji technicznej (OST) są wymagania dotyczące wykonania i odbioru robót związanych z rozbiórką elementów dróg, ogrodzeń i przepustów dla zadania:</w:t>
      </w:r>
      <w:r w:rsidRPr="003E1013">
        <w:rPr>
          <w:rStyle w:val="PogrubienieTeksttreci115pt"/>
          <w:sz w:val="20"/>
          <w:szCs w:val="20"/>
        </w:rPr>
        <w:t xml:space="preserve"> </w:t>
      </w:r>
      <w:r w:rsidRPr="001010CF">
        <w:rPr>
          <w:rStyle w:val="PogrubienieTeksttreci115pt"/>
          <w:sz w:val="20"/>
          <w:szCs w:val="20"/>
        </w:rPr>
        <w:t xml:space="preserve">„Remont drogi wojewódzkiej nr </w:t>
      </w:r>
      <w:r>
        <w:rPr>
          <w:rStyle w:val="PogrubienieTeksttreci115pt"/>
          <w:sz w:val="20"/>
          <w:szCs w:val="20"/>
        </w:rPr>
        <w:t>722; Piaseczno – Lesznowola – Grójec na odc</w:t>
      </w:r>
      <w:r w:rsidRPr="001010CF">
        <w:rPr>
          <w:rStyle w:val="PogrubienieTeksttreci115pt"/>
          <w:sz w:val="20"/>
          <w:szCs w:val="20"/>
        </w:rPr>
        <w:t xml:space="preserve">inku od km </w:t>
      </w:r>
      <w:r>
        <w:rPr>
          <w:rStyle w:val="PogrubienieTeksttreci115pt"/>
          <w:sz w:val="20"/>
          <w:szCs w:val="20"/>
        </w:rPr>
        <w:t>24+450 do km 27+500 na terenie gminy Grójec</w:t>
      </w:r>
      <w:r w:rsidRPr="001010CF">
        <w:rPr>
          <w:rStyle w:val="PogrubienieTeksttreci115pt"/>
          <w:sz w:val="20"/>
          <w:szCs w:val="20"/>
        </w:rPr>
        <w:t>”</w:t>
      </w:r>
      <w:r>
        <w:rPr>
          <w:rStyle w:val="PogrubienieTeksttreci115pt"/>
          <w:sz w:val="20"/>
          <w:szCs w:val="20"/>
        </w:rPr>
        <w:t>.</w:t>
      </w:r>
    </w:p>
    <w:p w14:paraId="5B385AB2" w14:textId="77777777" w:rsidR="00E91242" w:rsidRPr="000A24B8" w:rsidRDefault="00E91242" w:rsidP="00E91242">
      <w:pPr>
        <w:spacing w:after="0" w:line="240" w:lineRule="auto"/>
        <w:jc w:val="both"/>
        <w:rPr>
          <w:rStyle w:val="PogrubienieTeksttreci115pt"/>
          <w:rFonts w:eastAsia="Calibri"/>
          <w:sz w:val="20"/>
          <w:szCs w:val="20"/>
        </w:rPr>
      </w:pPr>
    </w:p>
    <w:p w14:paraId="1BFC4B8A" w14:textId="77777777" w:rsidR="00E91242" w:rsidRPr="000A24B8" w:rsidRDefault="00E91242" w:rsidP="00E91242">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 Zakres stosowania OST</w:t>
      </w:r>
    </w:p>
    <w:p w14:paraId="38EA9DB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Ogólna specyfikacja techniczna (OST) stanowi obowiązującą podstawę opracowania szczegółowej specyfikacji technicznej (SST) stosowanej jako dokument przetargowy i kontraktowy przy zlecaniu i realizacji robót na drogach krajowych i wojewódzkich.</w:t>
      </w:r>
    </w:p>
    <w:p w14:paraId="1BB0376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Zaleca się wykorzystanie OST przy zlecaniu robót na drogach miejskich i gminnych.</w:t>
      </w:r>
    </w:p>
    <w:p w14:paraId="5249B19F"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1.3. Zakres robót objętych OST</w:t>
      </w:r>
    </w:p>
    <w:p w14:paraId="703006BD"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Ustalenia zawarte w niniejszej specyfikacji dotyczą zasad prowadzenia robót związanych z rozbiórką:</w:t>
      </w:r>
    </w:p>
    <w:p w14:paraId="7D7F62AA"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warstw nawierzchni,</w:t>
      </w:r>
    </w:p>
    <w:p w14:paraId="1AF90414" w14:textId="77777777" w:rsidR="00E91242" w:rsidRPr="00DB45FD"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krawężników, obrzeży i oporników,</w:t>
      </w:r>
    </w:p>
    <w:p w14:paraId="5E1E318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chodników,</w:t>
      </w:r>
    </w:p>
    <w:p w14:paraId="475F0612"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ogrodzeń,</w:t>
      </w:r>
    </w:p>
    <w:p w14:paraId="2378CE5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barier i poręczy,</w:t>
      </w:r>
    </w:p>
    <w:p w14:paraId="6C8F8A82"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znaków drogowych,</w:t>
      </w:r>
    </w:p>
    <w:p w14:paraId="59C186F3"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przepustów: betonowych, z tworzyw sztucznych, żelbetowych, kamiennych, ceglanych itp.</w:t>
      </w:r>
    </w:p>
    <w:p w14:paraId="7062FD81"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1.4. Określenia podstawowe</w:t>
      </w:r>
    </w:p>
    <w:p w14:paraId="20A426EA"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Stosowane określenia podstawowe są zgodne z obowiązującymi, odpowiednimi polskimi normami oraz z definicjami podanymi w OST D-M-00.00.00 „Wymagania ogólne” pkt 1.4.</w:t>
      </w:r>
    </w:p>
    <w:p w14:paraId="5475ABF5"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1.5. Ogólne wymagania dotyczące robót</w:t>
      </w:r>
    </w:p>
    <w:p w14:paraId="4152C4C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robót podano w OST D-M-00.00.00 „Wymagania ogólne” pkt 1.5.</w:t>
      </w:r>
    </w:p>
    <w:p w14:paraId="1F52BF1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 MATERIAŁY</w:t>
      </w:r>
    </w:p>
    <w:p w14:paraId="44787CF6"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2.1. Ogólne wymagania dotyczące materiałów</w:t>
      </w:r>
    </w:p>
    <w:p w14:paraId="5D5ED36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Ogólne wymagania dotyczące materiałów, ich pozyskiwania i składowania, podano w OST D-M-00.00.00 „Wymagania ogólne” pkt 2.</w:t>
      </w:r>
    </w:p>
    <w:p w14:paraId="19E07DFE"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2.2. Rusztowania</w:t>
      </w:r>
    </w:p>
    <w:p w14:paraId="544E4ADF"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Rusztowania robocze przestawne przy rozbiórce przepustów mogą być wykonane z drewna lub rur stalowych w postaci:</w:t>
      </w:r>
    </w:p>
    <w:p w14:paraId="5A9B1F6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rusztowań kozłowych, wysokości od 1,0 do 1,5 m, składających się z leżni z bali (np. 12,5 x 12,5 cm), nóg z krawędziaków (np. 7,6 x 7,6 cm), stężeń (np. 3,2 x 12,5 cm) i pomostu z desek,</w:t>
      </w:r>
    </w:p>
    <w:p w14:paraId="0C11B7AD"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rusztowań drabinowych, składających się z drabin (np. długości 6 m, szerokości 52 cm), usztywnionych stężeniami z desek (np. 3,2 x 12,5 cm), na których szczeblach (np. 3,2 x 6,3 cm) układa się pomosty z desek,</w:t>
      </w:r>
    </w:p>
    <w:p w14:paraId="1EC00CDD"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przestawnych klatek rusztowaniowych z rur stalowych średnicy od 38 do 63,5 mm, o wymiarach klatek około 1,2 x 1,5 m lub płaskich klatek rusztowaniowych (np. z rur stalowych średnicy 108 mm i kątowników 45 x 45 x 5 mm i 70 x 70 x 7 mm), o wymiarach klatek około 1,1 x 1,5 m,</w:t>
      </w:r>
    </w:p>
    <w:p w14:paraId="48BA49C9"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rusztowań z rur stalowych średnicy od 33,5 do 76,1 mm połączonych łącznikami w ramownice i kratownice.</w:t>
      </w:r>
    </w:p>
    <w:p w14:paraId="2DAD7325"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Rusztowanie należy wykonać z materiałów odpowiadających następującym normom:</w:t>
      </w:r>
    </w:p>
    <w:p w14:paraId="72272516"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drewno i tarcica wg PN-D-95017 [1], PN-D-96000 [2], PN-D-96002 [3] lub innej zaakceptowanej przez Inżyniera,</w:t>
      </w:r>
    </w:p>
    <w:p w14:paraId="62C6A43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gwoździe wg BN-87/5028-12 [8],</w:t>
      </w:r>
    </w:p>
    <w:p w14:paraId="7997C40C"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rury stalowe wg PN-H-74219 [4], PN-H-74220 [5] lub innej zaakceptowanej przez Inżyniera,</w:t>
      </w:r>
    </w:p>
    <w:p w14:paraId="4E49054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kątowniki wg PN-H-93401[6], PN-H-93402 [7] lub innej zaakceptowanej przez Inżyniera.</w:t>
      </w:r>
    </w:p>
    <w:p w14:paraId="625C7DFC"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 SPRZĘT</w:t>
      </w:r>
    </w:p>
    <w:p w14:paraId="115A1CCB"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3.1. Ogólne wymagania dotyczące sprzętu</w:t>
      </w:r>
    </w:p>
    <w:p w14:paraId="490F4EF8"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sprzętu podano w OST D-M-00.00.00 „Wymagania ogólne” pkt 3.</w:t>
      </w:r>
    </w:p>
    <w:p w14:paraId="6B5554E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3.2. Sprzęt do rozbiórki</w:t>
      </w:r>
    </w:p>
    <w:p w14:paraId="43A7602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 wykonania robót związanych z rozbiórką elementów dróg, ogrodzeń i przepustów może być wykorzystany sprzęt podany poniżej, lub inny zaakceptowany przez Inżyniera:</w:t>
      </w:r>
    </w:p>
    <w:p w14:paraId="0720E5E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spycharki,</w:t>
      </w:r>
    </w:p>
    <w:p w14:paraId="1421978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ładowarki,</w:t>
      </w:r>
    </w:p>
    <w:p w14:paraId="67BFEFFC"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żurawie samochodowe,</w:t>
      </w:r>
    </w:p>
    <w:p w14:paraId="496688BD"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samochody ciężarowe,</w:t>
      </w:r>
    </w:p>
    <w:p w14:paraId="7D988D9A"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zrywarki,</w:t>
      </w:r>
    </w:p>
    <w:p w14:paraId="607D5011"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młoty pneumatyczne,</w:t>
      </w:r>
    </w:p>
    <w:p w14:paraId="42759795"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piły mechaniczne,</w:t>
      </w:r>
    </w:p>
    <w:p w14:paraId="34450F3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frezarki nawierzchni,</w:t>
      </w:r>
    </w:p>
    <w:p w14:paraId="5864790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koparki.</w:t>
      </w:r>
    </w:p>
    <w:p w14:paraId="21840485"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 TRANSPORT</w:t>
      </w:r>
    </w:p>
    <w:p w14:paraId="60AE2946"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4.1. Ogólne wymagania dotyczące transportu</w:t>
      </w:r>
    </w:p>
    <w:p w14:paraId="14723CCC"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transportu podano w OST D-M-00.00.00 „Wymagania ogólne” pkt 4.</w:t>
      </w:r>
    </w:p>
    <w:p w14:paraId="7D9313D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4.2. Transport materiałów z rozbiórki</w:t>
      </w:r>
    </w:p>
    <w:p w14:paraId="0E6CB54A"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Materiał z rozbiórki można przewozić dowolnym środkiem transportu.</w:t>
      </w:r>
    </w:p>
    <w:p w14:paraId="7B73825D"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 WYKONANIE ROBÓT</w:t>
      </w:r>
    </w:p>
    <w:p w14:paraId="195D299E"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5.1. Ogólne zasady wykonania robót</w:t>
      </w:r>
    </w:p>
    <w:p w14:paraId="26124161"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wykonania robót podano w OST D-M-00.00.00 „Wymagania ogólne” pkt 5.</w:t>
      </w:r>
    </w:p>
    <w:p w14:paraId="2562FBCF"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5.2. Wykonanie robót rozbiórkowych</w:t>
      </w:r>
    </w:p>
    <w:p w14:paraId="6162F84F"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rozbiórkowe elementów dróg, ogrodzeń i przepustów obejmują usunięcie z terenu budowy wszystkich elementów wymienionych w pkt 1.3, zgodnie z dokumentacją projektową, SST lub wskazanych przez Inżyniera.</w:t>
      </w:r>
    </w:p>
    <w:p w14:paraId="2CDCCCD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Jeśli dokumentacja projektowa nie zawiera dokumentacji inwentaryzacyjnej lub/i rozbiórkowej, Inżynier może polecić Wykonawcy sporządzenie takiej dokumentacji, w której zostanie określony przewidziany odzysk materiałów.</w:t>
      </w:r>
    </w:p>
    <w:p w14:paraId="2DAA006F"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rozbiórkowe można wykonywać mechanicznie lub ręcznie w sposób określony w SST lub przez Inżyniera.</w:t>
      </w:r>
    </w:p>
    <w:p w14:paraId="6DDF76FE"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przypadku usuwania warstw nawierzchni z zastosowaniem frezarek drogowych, należy spełnić warunki określone w OST D-05.03.11 „Recykling”.</w:t>
      </w:r>
    </w:p>
    <w:p w14:paraId="30E4D1DB"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przypadku robót rozbiórkowych przepustu należy dokonać:</w:t>
      </w:r>
    </w:p>
    <w:p w14:paraId="5553817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odkopania przepustu,</w:t>
      </w:r>
    </w:p>
    <w:p w14:paraId="7F9ABA4C"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ustawienia przenośnych rusztowań przy przepustach wyższych od około 2 m,</w:t>
      </w:r>
    </w:p>
    <w:p w14:paraId="6DE9F06A"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rozbicia elementów, których nie przewiduje się odzyskać, w sposób ręczny lub mechaniczny z ew. przecięciem prętów zbrojeniowych i ich odgięciem,</w:t>
      </w:r>
    </w:p>
    <w:p w14:paraId="42B9079F"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14:paraId="4F663501"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oczyszczenia rozebranych elementów, przewidzianych do powtórnego użycia   (z zaprawy, kawałków betonu, izolacji itp.) i ich posortowania.</w:t>
      </w:r>
    </w:p>
    <w:p w14:paraId="1F0C43D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14:paraId="3492D50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Elementy i materiały, które zgodnie z SST stają się własnością Wykonawcy, powinny być usunięte z terenu budowy.</w:t>
      </w:r>
    </w:p>
    <w:p w14:paraId="00039CE1"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14:paraId="25A618B7"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Doły w miejscach, gdzie nie przewiduje się wykonania wykopów drogowych należy wypełnić, warstwami, odpowiednim gruntem do poziomu otaczającego terenu i zagęścić zgodnie z wymaganiami określonymi w OST D-02.00.00 „Roboty ziemne”.</w:t>
      </w:r>
    </w:p>
    <w:p w14:paraId="700EE811"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 KONTROLA JAKOŚCI ROBÓT</w:t>
      </w:r>
    </w:p>
    <w:p w14:paraId="06E9B5B3"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6.1. Ogólne zasady kontroli jakości robót</w:t>
      </w:r>
    </w:p>
    <w:p w14:paraId="4EEC43E8"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kontroli jakości robót podano w OST D-M-00.00.00 „Wymagania ogólne” pkt 6.</w:t>
      </w:r>
    </w:p>
    <w:p w14:paraId="58F5F7BE"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6.2. Kontrola jakości robót rozbiórkowych</w:t>
      </w:r>
    </w:p>
    <w:p w14:paraId="6F2E1368"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Kontrola jakości robót polega na wizualnej ocenie kompletności wykonanych robót rozbiórkowych oraz sprawdzeniu stopnia uszkodzenia elementów przewidzianych do powtórnego wykorzystania.</w:t>
      </w:r>
    </w:p>
    <w:p w14:paraId="55AB5F63"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Zagęszczenie gruntu wypełniającego ewentualne doły po usuniętych elementach nawierzchni, ogrodzeń i przepustów powinno spełniać odpowiednie wymagania określone w OST D-02.00.00 „Roboty ziemne”.</w:t>
      </w:r>
    </w:p>
    <w:p w14:paraId="2A77344E"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 OBMIAR ROBÓT</w:t>
      </w:r>
    </w:p>
    <w:p w14:paraId="3A1E57EC"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7.1. Ogólne zasady obmiaru robót</w:t>
      </w:r>
    </w:p>
    <w:p w14:paraId="391FCC6E"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Ogólne zasady obmiaru robót podano w OST D-M-00.00.00 „Wymagania ogólne”     pkt 7.</w:t>
      </w:r>
    </w:p>
    <w:p w14:paraId="13F26DAF"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7.2. Jednostka obmiarowa</w:t>
      </w:r>
    </w:p>
    <w:p w14:paraId="56667E42"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lastRenderedPageBreak/>
        <w:tab/>
      </w:r>
      <w:r w:rsidRPr="000A24B8">
        <w:rPr>
          <w:rFonts w:ascii="Times New Roman" w:eastAsia="Times New Roman" w:hAnsi="Times New Roman"/>
          <w:sz w:val="20"/>
          <w:szCs w:val="20"/>
          <w:lang w:eastAsia="pl-PL"/>
        </w:rPr>
        <w:t>Jednostką obmiarową robót związanych z rozbiórką elementów dróg i ogrodzeń jest:</w:t>
      </w:r>
    </w:p>
    <w:p w14:paraId="35067FD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nawierzchni i chodnika -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(metr kwadratowy),</w:t>
      </w:r>
    </w:p>
    <w:p w14:paraId="55636173"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krawężnika, opornika, obrzeża, ścieków prefabrykowanych, ogrodzeń, barier i poręczy - m (metr),</w:t>
      </w:r>
    </w:p>
    <w:p w14:paraId="609E6CC4"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znaków drogowych - szt. (sztuka),</w:t>
      </w:r>
    </w:p>
    <w:p w14:paraId="38BF7BF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przepustów i ich elementów</w:t>
      </w:r>
    </w:p>
    <w:p w14:paraId="25026CC6"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a) betonowych, kamiennych, ceglanych - m</w:t>
      </w:r>
      <w:r w:rsidRPr="000A24B8">
        <w:rPr>
          <w:rFonts w:ascii="Times New Roman" w:eastAsia="Times New Roman" w:hAnsi="Times New Roman"/>
          <w:sz w:val="20"/>
          <w:szCs w:val="20"/>
          <w:vertAlign w:val="superscript"/>
          <w:lang w:eastAsia="pl-PL"/>
        </w:rPr>
        <w:t>3</w:t>
      </w:r>
      <w:r w:rsidRPr="000A24B8">
        <w:rPr>
          <w:rFonts w:ascii="Times New Roman" w:eastAsia="Times New Roman" w:hAnsi="Times New Roman"/>
          <w:sz w:val="20"/>
          <w:szCs w:val="20"/>
          <w:lang w:eastAsia="pl-PL"/>
        </w:rPr>
        <w:t xml:space="preserve"> (metr sześcienny),</w:t>
      </w:r>
    </w:p>
    <w:p w14:paraId="69139F73"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b) prefabrykowanych betonowych, żelbetowych, z tworzyw sztucznych - m (metr),</w:t>
      </w:r>
    </w:p>
    <w:p w14:paraId="30D8EF7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c) ścianek czołowych</w:t>
      </w:r>
      <w:r>
        <w:rPr>
          <w:rFonts w:ascii="Times New Roman" w:eastAsia="Times New Roman" w:hAnsi="Times New Roman"/>
          <w:sz w:val="20"/>
          <w:szCs w:val="20"/>
          <w:lang w:eastAsia="pl-PL"/>
        </w:rPr>
        <w:t xml:space="preserve"> – szt. ( sztuka).</w:t>
      </w:r>
    </w:p>
    <w:p w14:paraId="0D67AFA1" w14:textId="77777777" w:rsidR="00E91242"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5DC96F9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13CA7488"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8. ODBIÓR ROBÓT</w:t>
      </w:r>
    </w:p>
    <w:p w14:paraId="58E5513C"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Ogólne zasady odbioru robót podano w OST D-M-00.00.00 „Wymagania ogólne”  pkt 8.</w:t>
      </w:r>
    </w:p>
    <w:p w14:paraId="706A3DBD"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 PODSTAWA PŁATNOŚCI</w:t>
      </w:r>
    </w:p>
    <w:p w14:paraId="36CF7EC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9.1. Ogólne ustalenia dotyczące podstawy płatności</w:t>
      </w:r>
    </w:p>
    <w:p w14:paraId="513FBA1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Ogólne ustalenia dotyczące podstawy płatności podano w OST D-M-00.00.00 „Wymagania ogólne” pkt 9.</w:t>
      </w:r>
    </w:p>
    <w:p w14:paraId="14D1D7E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9.2. Cena jednostki obmiarowej</w:t>
      </w:r>
    </w:p>
    <w:p w14:paraId="51535A9B"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Cena wykonania robót obejmuje:</w:t>
      </w:r>
    </w:p>
    <w:p w14:paraId="05C7C8ED"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dla rozbiórki warstw nawierzchni:</w:t>
      </w:r>
    </w:p>
    <w:p w14:paraId="5C73CCB1"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wyznaczenie powierzchni przeznaczonej do rozbiórki,</w:t>
      </w:r>
    </w:p>
    <w:p w14:paraId="61807CAA"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rozkucie i zerwanie nawierzchni,</w:t>
      </w:r>
    </w:p>
    <w:p w14:paraId="193B61D9"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przesortowanie materiału uzyskanego z rozbiórki, w celu ponownego jej użycia, z ułożeniem na poboczu,</w:t>
      </w:r>
    </w:p>
    <w:p w14:paraId="16257E61"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materiałów z rozbiórki,</w:t>
      </w:r>
    </w:p>
    <w:p w14:paraId="376DF9B9"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podłoża i uporządkowanie terenu rozbiórki;</w:t>
      </w:r>
    </w:p>
    <w:p w14:paraId="111207AD"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dla rozbiórki krawężników, obrzeży i oporników:</w:t>
      </w:r>
    </w:p>
    <w:p w14:paraId="7BBD26AD"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odcięcie od nawierzchni bitumicznej,odkopanie krawężników, obrzeży i oporników wraz z wyjęciem i oczyszczeniem,</w:t>
      </w:r>
    </w:p>
    <w:p w14:paraId="2281A8D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zerwanie podsypki cementowo-piaskowej i ew. ław,</w:t>
      </w:r>
    </w:p>
    <w:p w14:paraId="633732D2"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materiału z rozbiórki,</w:t>
      </w:r>
    </w:p>
    <w:p w14:paraId="57A57FA6"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podłoża i uporządkowanie terenu rozbiórki;</w:t>
      </w:r>
    </w:p>
    <w:p w14:paraId="031EE996"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 dla rozbiórki ścieku:</w:t>
      </w:r>
    </w:p>
    <w:p w14:paraId="53F3D0A5"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odsłonięcie ścieku,</w:t>
      </w:r>
    </w:p>
    <w:p w14:paraId="4B9829C7"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ręczne wyjęcie elementów ściekowych wraz z oczyszczeniem,</w:t>
      </w:r>
    </w:p>
    <w:p w14:paraId="27878DFD"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przesortowanie materiału uzyskanego z rozbiórki, w celu ponownego jego użycia, z ułożeniem na poboczu,</w:t>
      </w:r>
    </w:p>
    <w:p w14:paraId="165EDC75"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zerwanie podsypki cementowo-piaskowej,</w:t>
      </w:r>
    </w:p>
    <w:p w14:paraId="503C3B29"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uzupełnienie i wyrównanie podłoża,</w:t>
      </w:r>
    </w:p>
    <w:p w14:paraId="31B678C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wywóz materiałów z rozbiórki,</w:t>
      </w:r>
    </w:p>
    <w:p w14:paraId="404323F5"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uporządkowanie terenu rozbiórki;</w:t>
      </w:r>
    </w:p>
    <w:p w14:paraId="6AC74F6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 dla rozbiórki chodników:</w:t>
      </w:r>
    </w:p>
    <w:p w14:paraId="7B3E4E13"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ręczne wyjęcie płyt chodnikowych, lub rozkucie i zerwanie innych materiałów chodnikowych,</w:t>
      </w:r>
    </w:p>
    <w:p w14:paraId="2046348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przesortowanie materiału uzyskanego z rozbiórki w celu ponownego jego użycia, z ułożeniem na poboczu,</w:t>
      </w:r>
    </w:p>
    <w:p w14:paraId="4058E73F"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zerwanie podsypki cementowo-piaskowej,</w:t>
      </w:r>
    </w:p>
    <w:p w14:paraId="2DAC2013"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materiałów z rozbiórki,</w:t>
      </w:r>
    </w:p>
    <w:p w14:paraId="3F57379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podłoża i uporządkowanie terenu rozbiórki;</w:t>
      </w:r>
    </w:p>
    <w:p w14:paraId="0FFD838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 dla rozbiórki ogrodzeń:</w:t>
      </w:r>
    </w:p>
    <w:p w14:paraId="0BAB0DA3"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demontaż elementów ogrodzenia,</w:t>
      </w:r>
    </w:p>
    <w:p w14:paraId="3C36DFE9"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odkopanie i wydobycie słupków wraz z fundamentem,</w:t>
      </w:r>
    </w:p>
    <w:p w14:paraId="2038C23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zasypanie dołów po słupkach z zagęszczeniem do uzyskania Is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1,00 wg BN-77/8931-12 [9],</w:t>
      </w:r>
    </w:p>
    <w:p w14:paraId="3C807AC6"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przesortowanie materiału uzyskanego z rozbiórki, w celu ponownego jego użycia, z ułożeniem w stosy na poboczu,</w:t>
      </w:r>
    </w:p>
    <w:p w14:paraId="27F2C4E3"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materiałów z rozbiórki,</w:t>
      </w:r>
    </w:p>
    <w:p w14:paraId="277812D5"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uporządkowanie terenu rozbiórki;</w:t>
      </w:r>
    </w:p>
    <w:p w14:paraId="44772B1A"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f) dla rozbiórki barier i poręczy:</w:t>
      </w:r>
    </w:p>
    <w:p w14:paraId="2ABD675A"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demontaż elementów bariery lub poręczy,</w:t>
      </w:r>
    </w:p>
    <w:p w14:paraId="3F32B88B"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odkopanie i wydobycie słupków wraz z fundamentem,</w:t>
      </w:r>
    </w:p>
    <w:p w14:paraId="17DE85F7"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zasypanie dołów po słupkach wraz z zagęszczeniem do uzyskania Is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1,00 wg BN-77/8931-12 [9],</w:t>
      </w:r>
    </w:p>
    <w:p w14:paraId="4EC6038F"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materiałów z rozbiórki,</w:t>
      </w:r>
    </w:p>
    <w:p w14:paraId="1D8372F2"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uporządkowanie terenu rozbiórki;</w:t>
      </w:r>
    </w:p>
    <w:p w14:paraId="56DD7A44"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g) dla rozbiórki znaków drogowych:</w:t>
      </w:r>
    </w:p>
    <w:p w14:paraId="09A86011"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demontaż tablic znaków drogowych ze słupków,</w:t>
      </w:r>
    </w:p>
    <w:p w14:paraId="1B7A2C1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odkopanie i wydobycie słupków,</w:t>
      </w:r>
    </w:p>
    <w:p w14:paraId="38FA45DF"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zasypanie dołów po słupkach wraz z zagęszczeniem do uzyskania Is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1,00 wg BN-77/8931-12 [9],</w:t>
      </w:r>
    </w:p>
    <w:p w14:paraId="74575BD8"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materiałów z rozbiórki,</w:t>
      </w:r>
    </w:p>
    <w:p w14:paraId="566B5385"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uporządkowanie terenu rozbiórki;</w:t>
      </w:r>
    </w:p>
    <w:p w14:paraId="6E6FFE70"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h) dla rozbiórki przepustu:</w:t>
      </w:r>
    </w:p>
    <w:p w14:paraId="598108D2"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odkopanie przepustu, fundamentów, ław, umocnień itp.,</w:t>
      </w:r>
    </w:p>
    <w:p w14:paraId="463C3D2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ustawienie rusztowań i ich późniejsze rozebranie,</w:t>
      </w:r>
    </w:p>
    <w:p w14:paraId="1001D07E"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rozebranie elementów przepustu,</w:t>
      </w:r>
    </w:p>
    <w:p w14:paraId="30A81969"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sortowanie i pryzmowanie odzyskanych materiałów,</w:t>
      </w:r>
    </w:p>
    <w:p w14:paraId="3BE3AE5B"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załadunek i wywiezienie materiałów z rozbiórki ( ścianki czołowe prefabrykowane i rury z tworzyw sztucznych na plac Obwodu Drogowego w Warce),</w:t>
      </w:r>
    </w:p>
    <w:p w14:paraId="28A4B167"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zasypanie dołów (wykopów) gruntem z zagęszczeniem do uzyskania Is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1,00 wg BN-77/8931-12 [9],</w:t>
      </w:r>
    </w:p>
    <w:p w14:paraId="513675D0" w14:textId="77777777" w:rsidR="00E91242" w:rsidRPr="000A24B8" w:rsidRDefault="00E91242" w:rsidP="00E9124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uporządkowanie terenu rozbiórki.</w:t>
      </w:r>
    </w:p>
    <w:p w14:paraId="31528BA6"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 PRZEPISY ZWIĄZANE</w:t>
      </w:r>
    </w:p>
    <w:p w14:paraId="46C42609" w14:textId="77777777" w:rsidR="00E91242" w:rsidRPr="000A24B8" w:rsidRDefault="00E91242" w:rsidP="00E91242">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Normy</w:t>
      </w:r>
    </w:p>
    <w:tbl>
      <w:tblPr>
        <w:tblW w:w="0" w:type="auto"/>
        <w:tblLayout w:type="fixed"/>
        <w:tblCellMar>
          <w:left w:w="70" w:type="dxa"/>
          <w:right w:w="70" w:type="dxa"/>
        </w:tblCellMar>
        <w:tblLook w:val="04A0" w:firstRow="1" w:lastRow="0" w:firstColumn="1" w:lastColumn="0" w:noHBand="0" w:noVBand="1"/>
      </w:tblPr>
      <w:tblGrid>
        <w:gridCol w:w="496"/>
        <w:gridCol w:w="2551"/>
        <w:gridCol w:w="4394"/>
      </w:tblGrid>
      <w:tr w:rsidR="00E91242" w:rsidRPr="000A24B8" w14:paraId="6E74118D" w14:textId="77777777" w:rsidTr="00FA06FB">
        <w:tc>
          <w:tcPr>
            <w:tcW w:w="496" w:type="dxa"/>
            <w:hideMark/>
          </w:tcPr>
          <w:p w14:paraId="6DF41317"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2551" w:type="dxa"/>
            <w:hideMark/>
          </w:tcPr>
          <w:p w14:paraId="478D41CE"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PN-D-95017</w:t>
            </w:r>
          </w:p>
        </w:tc>
        <w:tc>
          <w:tcPr>
            <w:tcW w:w="4394" w:type="dxa"/>
            <w:hideMark/>
          </w:tcPr>
          <w:p w14:paraId="11225DC5"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Surowiec drzewny. Drewno tartaczne iglaste.</w:t>
            </w:r>
          </w:p>
        </w:tc>
      </w:tr>
      <w:tr w:rsidR="00E91242" w:rsidRPr="000A24B8" w14:paraId="1313D5D3" w14:textId="77777777" w:rsidTr="00FA06FB">
        <w:tc>
          <w:tcPr>
            <w:tcW w:w="496" w:type="dxa"/>
            <w:hideMark/>
          </w:tcPr>
          <w:p w14:paraId="75D236E5"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2551" w:type="dxa"/>
            <w:hideMark/>
          </w:tcPr>
          <w:p w14:paraId="1C90E5F5"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PN-D-96000</w:t>
            </w:r>
          </w:p>
        </w:tc>
        <w:tc>
          <w:tcPr>
            <w:tcW w:w="4394" w:type="dxa"/>
            <w:hideMark/>
          </w:tcPr>
          <w:p w14:paraId="7DD297BB"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Tarcica iglasta ogólnego przeznaczenia</w:t>
            </w:r>
          </w:p>
        </w:tc>
      </w:tr>
      <w:tr w:rsidR="00E91242" w:rsidRPr="000A24B8" w14:paraId="482AE84B" w14:textId="77777777" w:rsidTr="00FA06FB">
        <w:tc>
          <w:tcPr>
            <w:tcW w:w="496" w:type="dxa"/>
            <w:hideMark/>
          </w:tcPr>
          <w:p w14:paraId="7AFEC0E9"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2551" w:type="dxa"/>
            <w:hideMark/>
          </w:tcPr>
          <w:p w14:paraId="1A3BB2DE"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PN-D-96002</w:t>
            </w:r>
          </w:p>
        </w:tc>
        <w:tc>
          <w:tcPr>
            <w:tcW w:w="4394" w:type="dxa"/>
            <w:hideMark/>
          </w:tcPr>
          <w:p w14:paraId="7F49AAD0"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Tarcica liściasta ogólnego przeznaczenia</w:t>
            </w:r>
          </w:p>
        </w:tc>
      </w:tr>
      <w:tr w:rsidR="00E91242" w:rsidRPr="000A24B8" w14:paraId="6E457E41" w14:textId="77777777" w:rsidTr="00FA06FB">
        <w:tc>
          <w:tcPr>
            <w:tcW w:w="496" w:type="dxa"/>
            <w:hideMark/>
          </w:tcPr>
          <w:p w14:paraId="311E7378"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2551" w:type="dxa"/>
            <w:hideMark/>
          </w:tcPr>
          <w:p w14:paraId="78407D7C"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PN-H-74219</w:t>
            </w:r>
          </w:p>
        </w:tc>
        <w:tc>
          <w:tcPr>
            <w:tcW w:w="4394" w:type="dxa"/>
            <w:hideMark/>
          </w:tcPr>
          <w:p w14:paraId="5D1AF568"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Rury stalowe bez szwu walcowane na gorąco ogólnego stosowania</w:t>
            </w:r>
          </w:p>
        </w:tc>
      </w:tr>
      <w:tr w:rsidR="00E91242" w:rsidRPr="000A24B8" w14:paraId="19113689" w14:textId="77777777" w:rsidTr="00FA06FB">
        <w:tc>
          <w:tcPr>
            <w:tcW w:w="496" w:type="dxa"/>
            <w:hideMark/>
          </w:tcPr>
          <w:p w14:paraId="7B097DE5"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2551" w:type="dxa"/>
            <w:hideMark/>
          </w:tcPr>
          <w:p w14:paraId="362FA4D1"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PN-H-74220</w:t>
            </w:r>
          </w:p>
        </w:tc>
        <w:tc>
          <w:tcPr>
            <w:tcW w:w="4394" w:type="dxa"/>
            <w:hideMark/>
          </w:tcPr>
          <w:p w14:paraId="5CD2ABAF"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Rury stalowe bez szwu ciągnione i walcowane na zimno ogólnego przeznaczenia</w:t>
            </w:r>
          </w:p>
        </w:tc>
      </w:tr>
      <w:tr w:rsidR="00E91242" w:rsidRPr="000A24B8" w14:paraId="61756288" w14:textId="77777777" w:rsidTr="00FA06FB">
        <w:tc>
          <w:tcPr>
            <w:tcW w:w="496" w:type="dxa"/>
            <w:hideMark/>
          </w:tcPr>
          <w:p w14:paraId="4465F711"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2551" w:type="dxa"/>
            <w:hideMark/>
          </w:tcPr>
          <w:p w14:paraId="16C42417"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PN-H-93401</w:t>
            </w:r>
          </w:p>
        </w:tc>
        <w:tc>
          <w:tcPr>
            <w:tcW w:w="4394" w:type="dxa"/>
            <w:hideMark/>
          </w:tcPr>
          <w:p w14:paraId="7DA942D2"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Stal walcowana. Kątowniki równoramienne</w:t>
            </w:r>
          </w:p>
        </w:tc>
      </w:tr>
      <w:tr w:rsidR="00E91242" w:rsidRPr="000A24B8" w14:paraId="53D2A81D" w14:textId="77777777" w:rsidTr="00FA06FB">
        <w:tc>
          <w:tcPr>
            <w:tcW w:w="496" w:type="dxa"/>
            <w:hideMark/>
          </w:tcPr>
          <w:p w14:paraId="6F51D924"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2551" w:type="dxa"/>
            <w:hideMark/>
          </w:tcPr>
          <w:p w14:paraId="32041CD6"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PN-H-93402</w:t>
            </w:r>
          </w:p>
        </w:tc>
        <w:tc>
          <w:tcPr>
            <w:tcW w:w="4394" w:type="dxa"/>
            <w:hideMark/>
          </w:tcPr>
          <w:p w14:paraId="62D300CD"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Kątowniki nierównoramienne stalowe walcowane na gorąco</w:t>
            </w:r>
          </w:p>
        </w:tc>
      </w:tr>
      <w:tr w:rsidR="00E91242" w:rsidRPr="000A24B8" w14:paraId="42F0C263" w14:textId="77777777" w:rsidTr="00FA06FB">
        <w:tc>
          <w:tcPr>
            <w:tcW w:w="496" w:type="dxa"/>
            <w:hideMark/>
          </w:tcPr>
          <w:p w14:paraId="5388531A"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2551" w:type="dxa"/>
            <w:hideMark/>
          </w:tcPr>
          <w:p w14:paraId="2FE8DBDF"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BN-87/5028-12</w:t>
            </w:r>
          </w:p>
        </w:tc>
        <w:tc>
          <w:tcPr>
            <w:tcW w:w="4394" w:type="dxa"/>
            <w:hideMark/>
          </w:tcPr>
          <w:p w14:paraId="1347C22C"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Gwoździe budowlane. Gwoździe z trzpieniem gładkim, okrągłym i kwadratowym</w:t>
            </w:r>
          </w:p>
        </w:tc>
      </w:tr>
      <w:tr w:rsidR="00E91242" w:rsidRPr="000A24B8" w14:paraId="5CF432AC" w14:textId="77777777" w:rsidTr="00FA06FB">
        <w:tc>
          <w:tcPr>
            <w:tcW w:w="496" w:type="dxa"/>
            <w:hideMark/>
          </w:tcPr>
          <w:p w14:paraId="295E36D8"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2551" w:type="dxa"/>
            <w:hideMark/>
          </w:tcPr>
          <w:p w14:paraId="1E6ABF02"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BN-77/8931-12</w:t>
            </w:r>
          </w:p>
        </w:tc>
        <w:tc>
          <w:tcPr>
            <w:tcW w:w="4394" w:type="dxa"/>
            <w:hideMark/>
          </w:tcPr>
          <w:p w14:paraId="002E6E98"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Oznaczenie wskaźnika zagęszczenia gruntu.</w:t>
            </w:r>
          </w:p>
          <w:p w14:paraId="10557FE8"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B18B416"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DC178CE"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2444775"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50763E6D"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6345BD27"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5766E0B"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2B684C8D"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5B4D8BAC"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8F42624"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5968190E" w14:textId="77777777" w:rsidR="00E91242"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9961019" w14:textId="77777777" w:rsidR="00E91242" w:rsidRPr="000A24B8" w:rsidRDefault="00E91242" w:rsidP="00FA06FB">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tc>
      </w:tr>
    </w:tbl>
    <w:p w14:paraId="5A9631BC" w14:textId="77777777" w:rsidR="003F1516" w:rsidRDefault="003F1516"/>
    <w:sectPr w:rsidR="003F15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08AFB32"/>
    <w:lvl w:ilvl="0">
      <w:start w:val="1"/>
      <w:numFmt w:val="lowerLetter"/>
      <w:pStyle w:val="Listanumerowana2"/>
      <w:lvlText w:val="%1)"/>
      <w:lvlJc w:val="left"/>
      <w:pPr>
        <w:tabs>
          <w:tab w:val="num" w:pos="340"/>
        </w:tabs>
        <w:ind w:left="340" w:hanging="340"/>
      </w:pPr>
      <w:rPr>
        <w:rFonts w:hint="default"/>
      </w:rPr>
    </w:lvl>
  </w:abstractNum>
  <w:abstractNum w:abstractNumId="1" w15:restartNumberingAfterBreak="0">
    <w:nsid w:val="FFFFFF82"/>
    <w:multiLevelType w:val="singleLevel"/>
    <w:tmpl w:val="15D6FFF0"/>
    <w:lvl w:ilvl="0">
      <w:start w:val="1"/>
      <w:numFmt w:val="bullet"/>
      <w:pStyle w:val="Nagwek9"/>
      <w:lvlText w:val=""/>
      <w:lvlJc w:val="left"/>
      <w:pPr>
        <w:tabs>
          <w:tab w:val="num" w:pos="1021"/>
        </w:tabs>
        <w:ind w:left="1021" w:hanging="341"/>
      </w:pPr>
      <w:rPr>
        <w:rFonts w:ascii="Symbol" w:hAnsi="Symbol" w:hint="default"/>
      </w:rPr>
    </w:lvl>
  </w:abstractNum>
  <w:abstractNum w:abstractNumId="2" w15:restartNumberingAfterBreak="0">
    <w:nsid w:val="FFFFFF89"/>
    <w:multiLevelType w:val="singleLevel"/>
    <w:tmpl w:val="C9F433F6"/>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64BC587B"/>
    <w:multiLevelType w:val="multilevel"/>
    <w:tmpl w:val="055012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E3205B"/>
    <w:multiLevelType w:val="multilevel"/>
    <w:tmpl w:val="0D8CFB7E"/>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50417473">
    <w:abstractNumId w:val="3"/>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872106627">
    <w:abstractNumId w:val="2"/>
  </w:num>
  <w:num w:numId="3" w16cid:durableId="369037357">
    <w:abstractNumId w:val="0"/>
  </w:num>
  <w:num w:numId="4" w16cid:durableId="1139154431">
    <w:abstractNumId w:val="0"/>
    <w:lvlOverride w:ilvl="0">
      <w:startOverride w:val="1"/>
    </w:lvlOverride>
  </w:num>
  <w:num w:numId="5" w16cid:durableId="1718771292">
    <w:abstractNumId w:val="1"/>
  </w:num>
  <w:num w:numId="6" w16cid:durableId="1175921620">
    <w:abstractNumId w:val="4"/>
  </w:num>
  <w:num w:numId="7" w16cid:durableId="1307079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242"/>
    <w:rsid w:val="000C005E"/>
    <w:rsid w:val="003F1516"/>
    <w:rsid w:val="00462A51"/>
    <w:rsid w:val="0090526D"/>
    <w:rsid w:val="00C72583"/>
    <w:rsid w:val="00C72759"/>
    <w:rsid w:val="00CD0E61"/>
    <w:rsid w:val="00E91242"/>
    <w:rsid w:val="00FB0F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DDBB7"/>
  <w15:chartTrackingRefBased/>
  <w15:docId w15:val="{DAE398FC-CAE2-4778-8CCE-7F016221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1242"/>
    <w:pPr>
      <w:spacing w:after="200" w:line="276" w:lineRule="auto"/>
    </w:pPr>
    <w:rPr>
      <w:rFonts w:ascii="Calibri" w:eastAsia="Calibri" w:hAnsi="Calibri" w:cs="Times New Roman"/>
    </w:rPr>
  </w:style>
  <w:style w:type="paragraph" w:styleId="Nagwek1">
    <w:name w:val="heading 1"/>
    <w:aliases w:val="Title 1"/>
    <w:basedOn w:val="Normalny"/>
    <w:next w:val="Normalny"/>
    <w:link w:val="Nagwek1Znak"/>
    <w:qFormat/>
    <w:rsid w:val="00E91242"/>
    <w:pPr>
      <w:keepNext/>
      <w:keepLines/>
      <w:widowControl w:val="0"/>
      <w:tabs>
        <w:tab w:val="num" w:pos="1021"/>
      </w:tabs>
      <w:spacing w:before="480" w:after="0" w:line="240" w:lineRule="auto"/>
      <w:ind w:left="1021" w:hanging="341"/>
      <w:outlineLvl w:val="0"/>
    </w:pPr>
    <w:rPr>
      <w:rFonts w:ascii="Cambria" w:eastAsia="Times New Roman" w:hAnsi="Cambria"/>
      <w:b/>
      <w:bCs/>
      <w:color w:val="365F91"/>
      <w:sz w:val="28"/>
      <w:szCs w:val="28"/>
      <w:lang w:eastAsia="pl-PL"/>
    </w:rPr>
  </w:style>
  <w:style w:type="paragraph" w:styleId="Nagwek2">
    <w:name w:val="heading 2"/>
    <w:aliases w:val="Title 2"/>
    <w:basedOn w:val="Normalny"/>
    <w:link w:val="Nagwek2Znak"/>
    <w:unhideWhenUsed/>
    <w:qFormat/>
    <w:rsid w:val="00E91242"/>
    <w:pPr>
      <w:keepNext/>
      <w:numPr>
        <w:ilvl w:val="1"/>
        <w:numId w:val="7"/>
      </w:numPr>
      <w:overflowPunct w:val="0"/>
      <w:autoSpaceDE w:val="0"/>
      <w:autoSpaceDN w:val="0"/>
      <w:spacing w:before="120" w:after="120" w:line="240" w:lineRule="auto"/>
      <w:jc w:val="both"/>
      <w:outlineLvl w:val="1"/>
    </w:pPr>
    <w:rPr>
      <w:rFonts w:ascii="Times New Roman" w:eastAsia="Times New Roman" w:hAnsi="Times New Roman"/>
      <w:b/>
      <w:bCs/>
      <w:sz w:val="24"/>
      <w:szCs w:val="24"/>
      <w:lang w:eastAsia="pl-PL"/>
    </w:rPr>
  </w:style>
  <w:style w:type="paragraph" w:styleId="Nagwek9">
    <w:name w:val="heading 9"/>
    <w:basedOn w:val="Normalny"/>
    <w:next w:val="Normalny"/>
    <w:link w:val="Nagwek9Znak"/>
    <w:qFormat/>
    <w:rsid w:val="00E91242"/>
    <w:pPr>
      <w:keepNext/>
      <w:numPr>
        <w:numId w:val="5"/>
      </w:numPr>
      <w:overflowPunct w:val="0"/>
      <w:autoSpaceDE w:val="0"/>
      <w:autoSpaceDN w:val="0"/>
      <w:adjustRightInd w:val="0"/>
      <w:spacing w:after="0" w:line="240" w:lineRule="auto"/>
      <w:jc w:val="both"/>
      <w:textAlignment w:val="baseline"/>
      <w:outlineLvl w:val="8"/>
    </w:pPr>
    <w:rPr>
      <w:rFonts w:ascii="Times New Roman" w:eastAsia="Times New Roman" w:hAnsi="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E91242"/>
    <w:rPr>
      <w:rFonts w:ascii="Cambria" w:eastAsia="Times New Roman" w:hAnsi="Cambria" w:cs="Times New Roman"/>
      <w:b/>
      <w:bCs/>
      <w:color w:val="365F91"/>
      <w:sz w:val="28"/>
      <w:szCs w:val="28"/>
      <w:lang w:eastAsia="pl-PL"/>
    </w:rPr>
  </w:style>
  <w:style w:type="character" w:customStyle="1" w:styleId="Nagwek2Znak">
    <w:name w:val="Nagłówek 2 Znak"/>
    <w:aliases w:val="Title 2 Znak"/>
    <w:basedOn w:val="Domylnaczcionkaakapitu"/>
    <w:link w:val="Nagwek2"/>
    <w:rsid w:val="00E91242"/>
    <w:rPr>
      <w:rFonts w:ascii="Times New Roman" w:eastAsia="Times New Roman" w:hAnsi="Times New Roman" w:cs="Times New Roman"/>
      <w:b/>
      <w:bCs/>
      <w:sz w:val="24"/>
      <w:szCs w:val="24"/>
      <w:lang w:eastAsia="pl-PL"/>
    </w:rPr>
  </w:style>
  <w:style w:type="character" w:customStyle="1" w:styleId="Nagwek9Znak">
    <w:name w:val="Nagłówek 9 Znak"/>
    <w:basedOn w:val="Domylnaczcionkaakapitu"/>
    <w:link w:val="Nagwek9"/>
    <w:rsid w:val="00E91242"/>
    <w:rPr>
      <w:rFonts w:ascii="Times New Roman" w:eastAsia="Times New Roman" w:hAnsi="Times New Roman" w:cs="Times New Roman"/>
      <w:b/>
      <w:sz w:val="20"/>
      <w:szCs w:val="20"/>
      <w:lang w:eastAsia="pl-PL"/>
    </w:rPr>
  </w:style>
  <w:style w:type="character" w:customStyle="1" w:styleId="Teksttreci">
    <w:name w:val="Tekst treści_"/>
    <w:link w:val="Teksttreci0"/>
    <w:rsid w:val="00E91242"/>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E91242"/>
    <w:pPr>
      <w:widowControl w:val="0"/>
      <w:shd w:val="clear" w:color="auto" w:fill="FFFFFF"/>
      <w:spacing w:before="120" w:after="0" w:line="274" w:lineRule="exact"/>
      <w:ind w:hanging="560"/>
      <w:jc w:val="both"/>
    </w:pPr>
    <w:rPr>
      <w:rFonts w:ascii="Times New Roman" w:eastAsia="Times New Roman" w:hAnsi="Times New Roman" w:cstheme="minorBidi"/>
      <w:sz w:val="21"/>
      <w:szCs w:val="21"/>
    </w:rPr>
  </w:style>
  <w:style w:type="character" w:customStyle="1" w:styleId="PogrubienieTeksttreci115pt">
    <w:name w:val="Pogrubienie;Tekst treści + 11;5 pt"/>
    <w:rsid w:val="00E91242"/>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paragraph" w:styleId="Listapunktowana">
    <w:name w:val="List Bullet"/>
    <w:basedOn w:val="Normalny"/>
    <w:link w:val="ListapunktowanaZnak"/>
    <w:unhideWhenUsed/>
    <w:rsid w:val="00E91242"/>
    <w:pPr>
      <w:numPr>
        <w:numId w:val="2"/>
      </w:numPr>
      <w:spacing w:after="0" w:line="360" w:lineRule="auto"/>
    </w:pPr>
    <w:rPr>
      <w:rFonts w:ascii="Times New Roman" w:eastAsia="Times New Roman" w:hAnsi="Times New Roman"/>
      <w:sz w:val="24"/>
      <w:szCs w:val="24"/>
      <w:lang w:eastAsia="pl-PL"/>
    </w:rPr>
  </w:style>
  <w:style w:type="paragraph" w:styleId="Listanumerowana2">
    <w:name w:val="List Number 2"/>
    <w:basedOn w:val="Normalny"/>
    <w:rsid w:val="00E91242"/>
    <w:pPr>
      <w:numPr>
        <w:numId w:val="3"/>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ListapunktowanaZnak">
    <w:name w:val="Lista punktowana Znak"/>
    <w:link w:val="Listapunktowana"/>
    <w:rsid w:val="00E91242"/>
    <w:rPr>
      <w:rFonts w:ascii="Times New Roman" w:eastAsia="Times New Roman" w:hAnsi="Times New Roman" w:cs="Times New Roman"/>
      <w:sz w:val="24"/>
      <w:szCs w:val="24"/>
      <w:lang w:eastAsia="pl-PL"/>
    </w:rPr>
  </w:style>
  <w:style w:type="paragraph" w:customStyle="1" w:styleId="Tablica">
    <w:name w:val="Tablica"/>
    <w:basedOn w:val="Normalny"/>
    <w:next w:val="Normalny"/>
    <w:rsid w:val="00E91242"/>
    <w:pPr>
      <w:keepNext/>
      <w:keepLines/>
      <w:numPr>
        <w:ilvl w:val="12"/>
      </w:numPr>
      <w:overflowPunct w:val="0"/>
      <w:autoSpaceDE w:val="0"/>
      <w:autoSpaceDN w:val="0"/>
      <w:adjustRightInd w:val="0"/>
      <w:spacing w:before="120" w:after="120" w:line="240" w:lineRule="auto"/>
      <w:jc w:val="both"/>
      <w:textAlignment w:val="baseline"/>
    </w:pPr>
    <w:rPr>
      <w:rFonts w:ascii="Times New Roman" w:eastAsia="Times New Roman" w:hAnsi="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2485</Words>
  <Characters>14913</Characters>
  <Application>Microsoft Office Word</Application>
  <DocSecurity>0</DocSecurity>
  <Lines>124</Lines>
  <Paragraphs>34</Paragraphs>
  <ScaleCrop>false</ScaleCrop>
  <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Janina Wojda</dc:creator>
  <cp:keywords/>
  <dc:description/>
  <cp:lastModifiedBy>MZDW Janina Wojda</cp:lastModifiedBy>
  <cp:revision>8</cp:revision>
  <dcterms:created xsi:type="dcterms:W3CDTF">2023-02-13T12:38:00Z</dcterms:created>
  <dcterms:modified xsi:type="dcterms:W3CDTF">2024-11-28T11:34:00Z</dcterms:modified>
</cp:coreProperties>
</file>